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439DE" w14:textId="4ACED9CD" w:rsidR="00DB562C" w:rsidRPr="00446F9D" w:rsidRDefault="00DB562C" w:rsidP="00DB562C">
      <w:pPr>
        <w:pStyle w:val="Header"/>
        <w:rPr>
          <w:i/>
        </w:rPr>
      </w:pPr>
      <w:r w:rsidRPr="00446F9D">
        <w:t xml:space="preserve">TSG-RAN WG1 </w:t>
      </w:r>
      <w:r>
        <w:t>#92bis</w:t>
      </w:r>
      <w:r w:rsidRPr="00446F9D">
        <w:tab/>
      </w:r>
      <w:r w:rsidR="007423BD">
        <w:tab/>
      </w:r>
      <w:r w:rsidR="007423BD">
        <w:tab/>
      </w:r>
      <w:r w:rsidR="007423BD">
        <w:tab/>
      </w:r>
      <w:r w:rsidR="007423BD">
        <w:tab/>
      </w:r>
      <w:r w:rsidR="007423BD">
        <w:tab/>
      </w:r>
      <w:r w:rsidR="007423BD">
        <w:tab/>
      </w:r>
      <w:r w:rsidR="007423BD">
        <w:tab/>
      </w:r>
      <w:r w:rsidR="007423BD">
        <w:tab/>
      </w:r>
      <w:r w:rsidR="007423BD">
        <w:tab/>
      </w:r>
      <w:r w:rsidR="007423BD">
        <w:tab/>
      </w:r>
      <w:r w:rsidR="007423BD">
        <w:tab/>
      </w:r>
      <w:r w:rsidRPr="00083069">
        <w:t>R1-18</w:t>
      </w:r>
      <w:r w:rsidR="007423BD">
        <w:t>04455</w:t>
      </w:r>
    </w:p>
    <w:p w14:paraId="6CECDF53" w14:textId="77777777" w:rsidR="00DB562C" w:rsidRPr="000833FA" w:rsidRDefault="00DB562C" w:rsidP="00DB562C">
      <w:pPr>
        <w:pStyle w:val="Header"/>
        <w:rPr>
          <w:color w:val="000000"/>
        </w:rPr>
      </w:pPr>
      <w:r>
        <w:t>Sanya, China, April 16 – 20, 2018</w:t>
      </w:r>
    </w:p>
    <w:p w14:paraId="1AC43221" w14:textId="77777777" w:rsidR="00291A4F" w:rsidRDefault="00291A4F" w:rsidP="00291A4F">
      <w:pPr>
        <w:rPr>
          <w:rFonts w:ascii="Times" w:hAnsi="Times"/>
          <w:sz w:val="20"/>
          <w:szCs w:val="20"/>
        </w:rPr>
      </w:pPr>
    </w:p>
    <w:p w14:paraId="73C3CF16" w14:textId="0CAD10EB" w:rsidR="00291A4F" w:rsidRDefault="00291A4F" w:rsidP="00291A4F">
      <w:pPr>
        <w:tabs>
          <w:tab w:val="left" w:pos="1701"/>
          <w:tab w:val="right" w:pos="9072"/>
          <w:tab w:val="right" w:pos="10206"/>
        </w:tabs>
        <w:rPr>
          <w:rFonts w:ascii="Arial" w:hAnsi="Arial"/>
          <w:b/>
          <w:sz w:val="20"/>
          <w:szCs w:val="20"/>
        </w:rPr>
      </w:pPr>
      <w:r>
        <w:rPr>
          <w:rFonts w:ascii="Arial" w:hAnsi="Arial"/>
          <w:b/>
          <w:sz w:val="20"/>
          <w:szCs w:val="20"/>
        </w:rPr>
        <w:t>Agenda Item:</w:t>
      </w:r>
      <w:r>
        <w:rPr>
          <w:rFonts w:ascii="Arial" w:hAnsi="Arial"/>
          <w:b/>
          <w:sz w:val="20"/>
          <w:szCs w:val="20"/>
        </w:rPr>
        <w:tab/>
        <w:t>7.1.</w:t>
      </w:r>
      <w:r w:rsidR="00A530B8">
        <w:rPr>
          <w:rFonts w:ascii="Arial" w:hAnsi="Arial"/>
          <w:b/>
          <w:sz w:val="20"/>
          <w:szCs w:val="20"/>
        </w:rPr>
        <w:t>5</w:t>
      </w:r>
    </w:p>
    <w:p w14:paraId="48E98959" w14:textId="1CF4D8E3" w:rsidR="002D4BA4" w:rsidRPr="002149E7" w:rsidRDefault="002D4BA4" w:rsidP="00291A4F">
      <w:pPr>
        <w:tabs>
          <w:tab w:val="left" w:pos="1701"/>
          <w:tab w:val="right" w:pos="9072"/>
          <w:tab w:val="right" w:pos="10206"/>
        </w:tabs>
        <w:rPr>
          <w:rFonts w:ascii="Arial" w:hAnsi="Arial"/>
          <w:b/>
          <w:sz w:val="20"/>
          <w:szCs w:val="20"/>
        </w:rPr>
      </w:pPr>
      <w:r w:rsidRPr="002149E7">
        <w:rPr>
          <w:rFonts w:ascii="Arial" w:hAnsi="Arial"/>
          <w:b/>
          <w:sz w:val="20"/>
          <w:szCs w:val="20"/>
        </w:rPr>
        <w:t xml:space="preserve">Source: </w:t>
      </w:r>
      <w:r w:rsidRPr="002149E7">
        <w:rPr>
          <w:rFonts w:ascii="Arial" w:hAnsi="Arial"/>
          <w:b/>
          <w:sz w:val="20"/>
          <w:szCs w:val="20"/>
        </w:rPr>
        <w:tab/>
        <w:t>Ericsson</w:t>
      </w:r>
    </w:p>
    <w:p w14:paraId="4246FA57" w14:textId="4F0BF0E6" w:rsidR="002D4BA4" w:rsidRPr="002149E7" w:rsidRDefault="002D4BA4" w:rsidP="002D4BA4">
      <w:pPr>
        <w:tabs>
          <w:tab w:val="left" w:pos="1701"/>
          <w:tab w:val="right" w:pos="9072"/>
          <w:tab w:val="right" w:pos="10206"/>
        </w:tabs>
        <w:rPr>
          <w:rFonts w:ascii="Arial" w:hAnsi="Arial"/>
          <w:b/>
          <w:sz w:val="20"/>
          <w:szCs w:val="20"/>
        </w:rPr>
      </w:pPr>
      <w:r w:rsidRPr="00100068">
        <w:rPr>
          <w:rFonts w:ascii="Arial" w:hAnsi="Arial"/>
          <w:b/>
          <w:sz w:val="20"/>
          <w:szCs w:val="20"/>
        </w:rPr>
        <w:t>Title:</w:t>
      </w:r>
      <w:bookmarkStart w:id="0" w:name="Title"/>
      <w:bookmarkEnd w:id="0"/>
      <w:r w:rsidRPr="00100068">
        <w:rPr>
          <w:rFonts w:ascii="Arial" w:hAnsi="Arial"/>
          <w:b/>
          <w:sz w:val="20"/>
          <w:szCs w:val="20"/>
        </w:rPr>
        <w:tab/>
      </w:r>
      <w:r w:rsidR="00A530B8" w:rsidRPr="00A530B8">
        <w:rPr>
          <w:b/>
          <w:lang w:eastAsia="x-none"/>
        </w:rPr>
        <w:t xml:space="preserve">On remaining issues </w:t>
      </w:r>
      <w:r w:rsidR="00E03ED9">
        <w:rPr>
          <w:b/>
          <w:lang w:eastAsia="x-none"/>
        </w:rPr>
        <w:t xml:space="preserve">of </w:t>
      </w:r>
      <w:r w:rsidR="00A530B8" w:rsidRPr="00A530B8">
        <w:rPr>
          <w:b/>
          <w:lang w:eastAsia="x-none"/>
        </w:rPr>
        <w:t>NR-LTE co-existence</w:t>
      </w:r>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1" w:name="DocumentFor"/>
      <w:bookmarkEnd w:id="1"/>
      <w:r w:rsidRPr="002149E7">
        <w:rPr>
          <w:rFonts w:ascii="Arial" w:hAnsi="Arial"/>
          <w:b/>
          <w:sz w:val="20"/>
          <w:szCs w:val="20"/>
        </w:rPr>
        <w:t>Discussion and Decision</w:t>
      </w:r>
    </w:p>
    <w:p w14:paraId="7F1C5511" w14:textId="2D5CA2BF" w:rsidR="005F627D" w:rsidRDefault="00E30225" w:rsidP="00456C62">
      <w:pPr>
        <w:pStyle w:val="Heading1"/>
      </w:pPr>
      <w:r w:rsidRPr="00CE0424">
        <w:t>Introduction</w:t>
      </w:r>
    </w:p>
    <w:p w14:paraId="55DC42AA" w14:textId="7844D3C4" w:rsidR="00713019" w:rsidRDefault="00A530B8" w:rsidP="00713019">
      <w:r>
        <w:t>In this contribution we follow</w:t>
      </w:r>
      <w:r w:rsidR="00BC565D">
        <w:t xml:space="preserve"> </w:t>
      </w:r>
      <w:r>
        <w:t>up on the remaining issues related to NR-LTE coex</w:t>
      </w:r>
      <w:r w:rsidR="00BC565D">
        <w:t>istence</w:t>
      </w:r>
      <w:r w:rsidR="00DF61FA">
        <w:t xml:space="preserve"> and provide high-level framework power sharing between NR and LTE for </w:t>
      </w:r>
      <w:r w:rsidR="00697E9B">
        <w:t>architecture</w:t>
      </w:r>
      <w:r w:rsidR="00DF61FA">
        <w:t xml:space="preserve"> Option 4/4A</w:t>
      </w:r>
    </w:p>
    <w:p w14:paraId="46AE4652" w14:textId="61842F84" w:rsidR="00372D51" w:rsidRDefault="00405B38" w:rsidP="00372D51">
      <w:pPr>
        <w:pStyle w:val="Heading1"/>
      </w:pPr>
      <w:r>
        <w:t xml:space="preserve">Discussion </w:t>
      </w:r>
    </w:p>
    <w:p w14:paraId="1C2CFC1A" w14:textId="7036E300" w:rsidR="000C0635" w:rsidRPr="000C0635" w:rsidRDefault="000C0635" w:rsidP="000C0635">
      <w:pPr>
        <w:pStyle w:val="Heading2"/>
      </w:pPr>
      <w:r>
        <w:rPr>
          <w:lang w:val="en-GB" w:eastAsia="zh-CN"/>
        </w:rPr>
        <w:t>2.1 Remaining issues for Case1 HARQ timing</w:t>
      </w:r>
    </w:p>
    <w:p w14:paraId="55A03EB2" w14:textId="33ED9BCF" w:rsidR="00D916CD" w:rsidRDefault="00732D0F" w:rsidP="002149E7">
      <w:pPr>
        <w:rPr>
          <w:lang w:val="en-GB" w:eastAsia="zh-CN"/>
        </w:rPr>
      </w:pPr>
      <w:r>
        <w:rPr>
          <w:lang w:val="en-GB" w:eastAsia="zh-CN"/>
        </w:rPr>
        <w:t>F</w:t>
      </w:r>
      <w:r w:rsidR="00D916CD">
        <w:rPr>
          <w:lang w:val="en-GB" w:eastAsia="zh-CN"/>
        </w:rPr>
        <w:t xml:space="preserve">or </w:t>
      </w:r>
      <w:r w:rsidR="001A6FDD">
        <w:rPr>
          <w:lang w:val="en-GB" w:eastAsia="zh-CN"/>
        </w:rPr>
        <w:t>single Tx operation with case 1 HARQ timing configured</w:t>
      </w:r>
      <w:r w:rsidR="00D916CD">
        <w:rPr>
          <w:lang w:val="en-GB" w:eastAsia="zh-CN"/>
        </w:rPr>
        <w:t>,</w:t>
      </w:r>
      <w:r w:rsidR="00DB562C">
        <w:rPr>
          <w:lang w:val="en-GB" w:eastAsia="zh-CN"/>
        </w:rPr>
        <w:t xml:space="preserve"> there was good progress at </w:t>
      </w:r>
      <w:r w:rsidR="00A16157">
        <w:rPr>
          <w:lang w:val="en-GB" w:eastAsia="zh-CN"/>
        </w:rPr>
        <w:t xml:space="preserve">last </w:t>
      </w:r>
      <w:r w:rsidR="00DB562C">
        <w:rPr>
          <w:lang w:val="en-GB" w:eastAsia="zh-CN"/>
        </w:rPr>
        <w:t xml:space="preserve">meeting. One aspect to consider is how to support multi carrier operation on the LTE for this scenario. This was not settled at last meeting. </w:t>
      </w:r>
      <w:r w:rsidR="00BC580F">
        <w:rPr>
          <w:lang w:val="en-GB" w:eastAsia="zh-CN"/>
        </w:rPr>
        <w:t xml:space="preserve">How to extend the design for this is rather direct however if all the carriers on the LTE side </w:t>
      </w:r>
      <w:r w:rsidR="00A16157">
        <w:rPr>
          <w:lang w:val="en-GB" w:eastAsia="zh-CN"/>
        </w:rPr>
        <w:t>are</w:t>
      </w:r>
      <w:r w:rsidR="00BC580F">
        <w:rPr>
          <w:lang w:val="en-GB" w:eastAsia="zh-CN"/>
        </w:rPr>
        <w:t xml:space="preserve"> operating FDD. The basic principle should just be that the same DL reference configuration applies for all carriers. This would ensure that the HARQ-ACK bits are feedback in the same UL subframe. Further it would also ensure that the UL transmissions on the LTE side is limited in time occasions to certain instance, which would allow NR to use the other transmission instances. </w:t>
      </w:r>
      <w:r w:rsidR="0074686B">
        <w:rPr>
          <w:lang w:val="en-GB" w:eastAsia="zh-CN"/>
        </w:rPr>
        <w:t>Also, given that we are so late in the standardisation for Rel15 EN-DC, we cannot consider other enhancements</w:t>
      </w:r>
      <w:bookmarkStart w:id="2" w:name="_GoBack"/>
      <w:bookmarkEnd w:id="2"/>
      <w:r w:rsidR="0074686B">
        <w:rPr>
          <w:lang w:val="en-GB" w:eastAsia="zh-CN"/>
        </w:rPr>
        <w:t>.</w:t>
      </w:r>
    </w:p>
    <w:p w14:paraId="4A92C241" w14:textId="51C492B1" w:rsidR="00DB562C" w:rsidRPr="00DB562C" w:rsidRDefault="00DB562C" w:rsidP="002149E7">
      <w:pPr>
        <w:rPr>
          <w:b/>
          <w:lang w:val="en-GB" w:eastAsia="zh-CN"/>
        </w:rPr>
      </w:pPr>
      <w:r w:rsidRPr="00DB562C">
        <w:rPr>
          <w:b/>
          <w:lang w:val="en-GB" w:eastAsia="zh-CN"/>
        </w:rPr>
        <w:t>Proposal</w:t>
      </w:r>
    </w:p>
    <w:p w14:paraId="7D3C6A23" w14:textId="521EBEC5" w:rsidR="00DB562C" w:rsidRDefault="00DB562C" w:rsidP="00EE22C6">
      <w:pPr>
        <w:pStyle w:val="ListParagraph"/>
        <w:numPr>
          <w:ilvl w:val="0"/>
          <w:numId w:val="20"/>
        </w:numPr>
        <w:rPr>
          <w:i/>
          <w:lang w:val="en-GB" w:eastAsia="zh-CN"/>
        </w:rPr>
      </w:pPr>
      <w:r w:rsidRPr="00DB562C">
        <w:rPr>
          <w:i/>
          <w:lang w:val="en-GB" w:eastAsia="zh-CN"/>
        </w:rPr>
        <w:t>For case 1</w:t>
      </w:r>
      <w:r w:rsidR="00A16157">
        <w:rPr>
          <w:i/>
          <w:lang w:val="en-GB" w:eastAsia="zh-CN"/>
        </w:rPr>
        <w:t>,</w:t>
      </w:r>
      <w:r w:rsidRPr="00DB562C">
        <w:rPr>
          <w:i/>
          <w:lang w:val="en-GB" w:eastAsia="zh-CN"/>
        </w:rPr>
        <w:t xml:space="preserve"> </w:t>
      </w:r>
      <w:r w:rsidR="00EE22C6">
        <w:rPr>
          <w:i/>
          <w:lang w:val="en-GB" w:eastAsia="zh-CN"/>
        </w:rPr>
        <w:t>when operating multiple FDD LTE carriers</w:t>
      </w:r>
      <w:r w:rsidR="00A16157">
        <w:rPr>
          <w:i/>
          <w:lang w:val="en-GB" w:eastAsia="zh-CN"/>
        </w:rPr>
        <w:t>,</w:t>
      </w:r>
      <w:r w:rsidRPr="00DB562C">
        <w:rPr>
          <w:i/>
          <w:lang w:val="en-GB" w:eastAsia="zh-CN"/>
        </w:rPr>
        <w:t xml:space="preserve"> </w:t>
      </w:r>
      <w:r w:rsidR="0074686B">
        <w:rPr>
          <w:i/>
          <w:lang w:val="en-GB" w:eastAsia="zh-CN"/>
        </w:rPr>
        <w:t xml:space="preserve">the </w:t>
      </w:r>
      <w:r w:rsidR="00A16157">
        <w:rPr>
          <w:i/>
          <w:lang w:val="en-GB" w:eastAsia="zh-CN"/>
        </w:rPr>
        <w:t>preferred</w:t>
      </w:r>
      <w:r w:rsidRPr="00DB562C">
        <w:rPr>
          <w:i/>
          <w:lang w:val="en-GB" w:eastAsia="zh-CN"/>
        </w:rPr>
        <w:t xml:space="preserve"> approach is to configure the same DL reference configuration across all the aggregated LTE carriers. </w:t>
      </w:r>
    </w:p>
    <w:p w14:paraId="71177CC0" w14:textId="76BE99BF" w:rsidR="0074686B" w:rsidRPr="00E24AEA" w:rsidRDefault="0074686B" w:rsidP="004266EE">
      <w:pPr>
        <w:pStyle w:val="ListParagraph"/>
        <w:numPr>
          <w:ilvl w:val="0"/>
          <w:numId w:val="20"/>
        </w:numPr>
        <w:rPr>
          <w:i/>
          <w:lang w:val="en-GB" w:eastAsia="zh-CN"/>
        </w:rPr>
      </w:pPr>
      <w:r>
        <w:rPr>
          <w:i/>
          <w:lang w:val="en-GB" w:eastAsia="zh-CN"/>
        </w:rPr>
        <w:t>Further enhancements to case 1 HARQ timing should not be considered</w:t>
      </w:r>
    </w:p>
    <w:p w14:paraId="4ADF1946" w14:textId="05721EE5" w:rsidR="00A72C46" w:rsidRDefault="00A72C46" w:rsidP="002149E7">
      <w:pPr>
        <w:rPr>
          <w:lang w:val="en-GB" w:eastAsia="zh-CN"/>
        </w:rPr>
      </w:pPr>
    </w:p>
    <w:p w14:paraId="2D4E832C" w14:textId="77777777" w:rsidR="000C0635" w:rsidRPr="00836E6C" w:rsidRDefault="000C0635" w:rsidP="000C0635">
      <w:pPr>
        <w:pStyle w:val="Heading2"/>
        <w:keepLines w:val="0"/>
        <w:numPr>
          <w:ilvl w:val="1"/>
          <w:numId w:val="0"/>
        </w:numPr>
        <w:spacing w:after="60"/>
        <w:ind w:left="567" w:hanging="567"/>
        <w:rPr>
          <w:u w:val="single"/>
        </w:rPr>
      </w:pPr>
      <w:r>
        <w:rPr>
          <w:u w:val="single"/>
        </w:rPr>
        <w:t>2.2 Power sharing for NR architecture option 4/4A</w:t>
      </w:r>
    </w:p>
    <w:p w14:paraId="380B09F3" w14:textId="77777777" w:rsidR="000C0635" w:rsidRDefault="000C0635" w:rsidP="000C0635">
      <w:pPr>
        <w:jc w:val="both"/>
      </w:pPr>
    </w:p>
    <w:p w14:paraId="1A897663" w14:textId="77777777" w:rsidR="000C0635" w:rsidRDefault="000C0635" w:rsidP="000C0635">
      <w:pPr>
        <w:jc w:val="both"/>
      </w:pPr>
      <w:r>
        <w:t>In RAN 79, the following was agreement was made regarding NR architecture option 4/4A [1].</w:t>
      </w:r>
    </w:p>
    <w:p w14:paraId="268F75E7" w14:textId="77777777" w:rsidR="000C0635" w:rsidRDefault="000C0635" w:rsidP="000C0635">
      <w:pPr>
        <w:jc w:val="both"/>
      </w:pPr>
    </w:p>
    <w:p w14:paraId="68AAF2C3" w14:textId="77777777" w:rsidR="000C0635" w:rsidRDefault="000C0635" w:rsidP="000C0635">
      <w:pPr>
        <w:jc w:val="both"/>
        <w:rPr>
          <w:noProof/>
        </w:rPr>
      </w:pPr>
      <w:r w:rsidRPr="005669D0">
        <w:rPr>
          <w:noProof/>
        </w:rPr>
        <w:lastRenderedPageBreak/>
        <w:drawing>
          <wp:inline distT="0" distB="0" distL="0" distR="0" wp14:anchorId="3AD57FB9" wp14:editId="2B91B36D">
            <wp:extent cx="5762625" cy="1647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1647825"/>
                    </a:xfrm>
                    <a:prstGeom prst="rect">
                      <a:avLst/>
                    </a:prstGeom>
                    <a:noFill/>
                    <a:ln>
                      <a:noFill/>
                    </a:ln>
                  </pic:spPr>
                </pic:pic>
              </a:graphicData>
            </a:graphic>
          </wp:inline>
        </w:drawing>
      </w:r>
    </w:p>
    <w:p w14:paraId="2A75FFF1" w14:textId="77777777" w:rsidR="000C0635" w:rsidRDefault="000C0635" w:rsidP="000C0635">
      <w:pPr>
        <w:jc w:val="both"/>
      </w:pPr>
    </w:p>
    <w:p w14:paraId="0BE8972C" w14:textId="77777777" w:rsidR="000C0635" w:rsidRDefault="000C0635" w:rsidP="000C0635">
      <w:pPr>
        <w:jc w:val="both"/>
      </w:pPr>
      <w:r>
        <w:t>With architecture option 4/4A, NR will be configured as MCG while LTE configured as SCG as shown below.</w:t>
      </w:r>
    </w:p>
    <w:p w14:paraId="74FC310F" w14:textId="77777777" w:rsidR="000C0635" w:rsidRDefault="000C0635" w:rsidP="000C0635">
      <w:pPr>
        <w:jc w:val="both"/>
      </w:pPr>
    </w:p>
    <w:p w14:paraId="09F30C3E" w14:textId="77777777" w:rsidR="000C0635" w:rsidRDefault="000C0635" w:rsidP="000C0635">
      <w:pPr>
        <w:jc w:val="both"/>
      </w:pPr>
      <w:r w:rsidRPr="006E7D19">
        <w:rPr>
          <w:noProof/>
        </w:rPr>
        <w:drawing>
          <wp:inline distT="0" distB="0" distL="0" distR="0" wp14:anchorId="0F9D2090" wp14:editId="19F6DE20">
            <wp:extent cx="5105400"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05400" cy="971550"/>
                    </a:xfrm>
                    <a:prstGeom prst="rect">
                      <a:avLst/>
                    </a:prstGeom>
                    <a:noFill/>
                    <a:ln>
                      <a:noFill/>
                    </a:ln>
                  </pic:spPr>
                </pic:pic>
              </a:graphicData>
            </a:graphic>
          </wp:inline>
        </w:drawing>
      </w:r>
    </w:p>
    <w:p w14:paraId="4C296517" w14:textId="77777777" w:rsidR="000C0635" w:rsidRDefault="000C0635" w:rsidP="000C0635">
      <w:pPr>
        <w:jc w:val="center"/>
        <w:rPr>
          <w:rFonts w:ascii="Arial" w:hAnsi="Arial" w:cs="Arial"/>
          <w:b/>
          <w:u w:val="single"/>
        </w:rPr>
      </w:pPr>
    </w:p>
    <w:p w14:paraId="6B17F088" w14:textId="77777777" w:rsidR="000C0635" w:rsidRPr="006E7D19" w:rsidRDefault="000C0635" w:rsidP="000C0635">
      <w:pPr>
        <w:jc w:val="center"/>
        <w:rPr>
          <w:rFonts w:ascii="Arial" w:hAnsi="Arial" w:cs="Arial"/>
          <w:b/>
          <w:u w:val="single"/>
        </w:rPr>
      </w:pPr>
      <w:r>
        <w:rPr>
          <w:rFonts w:ascii="Arial" w:hAnsi="Arial" w:cs="Arial"/>
          <w:b/>
          <w:u w:val="single"/>
        </w:rPr>
        <w:t xml:space="preserve">Figure 1 – NR architecture options 4 and 4A </w:t>
      </w:r>
    </w:p>
    <w:p w14:paraId="10736EB2" w14:textId="77777777" w:rsidR="000C0635" w:rsidRDefault="000C0635" w:rsidP="000C0635">
      <w:pPr>
        <w:jc w:val="both"/>
      </w:pPr>
    </w:p>
    <w:p w14:paraId="376A5BAF" w14:textId="77777777" w:rsidR="000C0635" w:rsidRDefault="000C0635" w:rsidP="000C0635">
      <w:pPr>
        <w:jc w:val="both"/>
      </w:pPr>
    </w:p>
    <w:p w14:paraId="064C2B2F" w14:textId="77777777" w:rsidR="000C0635" w:rsidRDefault="000C0635" w:rsidP="000C0635">
      <w:pPr>
        <w:jc w:val="both"/>
      </w:pPr>
      <w:r>
        <w:t>Below we provide our view for Option 4/4A power sharing framework taking into account RAN guidance to minimize specification impact.</w:t>
      </w:r>
    </w:p>
    <w:p w14:paraId="33215F0D" w14:textId="77777777" w:rsidR="000C0635" w:rsidRDefault="000C0635" w:rsidP="000C0635">
      <w:pPr>
        <w:numPr>
          <w:ilvl w:val="0"/>
          <w:numId w:val="21"/>
        </w:numPr>
        <w:spacing w:after="0" w:line="240" w:lineRule="auto"/>
        <w:jc w:val="both"/>
      </w:pPr>
      <w:r>
        <w:t>P_LTE and P_NR signaling</w:t>
      </w:r>
    </w:p>
    <w:p w14:paraId="2248394F" w14:textId="77777777" w:rsidR="000C0635" w:rsidRDefault="000C0635" w:rsidP="000C0635">
      <w:pPr>
        <w:numPr>
          <w:ilvl w:val="1"/>
          <w:numId w:val="21"/>
        </w:numPr>
        <w:spacing w:after="0" w:line="240" w:lineRule="auto"/>
        <w:jc w:val="both"/>
      </w:pPr>
      <w:r>
        <w:t xml:space="preserve">P_LTE and P_NR are maximum allowed power values configured on LTE and NR side respectively. </w:t>
      </w:r>
    </w:p>
    <w:p w14:paraId="47CB5F65" w14:textId="77777777" w:rsidR="000C0635" w:rsidRDefault="000C0635" w:rsidP="000C0635">
      <w:pPr>
        <w:numPr>
          <w:ilvl w:val="1"/>
          <w:numId w:val="21"/>
        </w:numPr>
        <w:spacing w:after="0" w:line="240" w:lineRule="auto"/>
        <w:jc w:val="both"/>
      </w:pPr>
      <w:r>
        <w:t>These are already specified for EN-DC and can be reused without changes for Option 4/4A</w:t>
      </w:r>
    </w:p>
    <w:p w14:paraId="60177B68" w14:textId="77777777" w:rsidR="000C0635" w:rsidRDefault="000C0635" w:rsidP="000C0635">
      <w:pPr>
        <w:numPr>
          <w:ilvl w:val="0"/>
          <w:numId w:val="21"/>
        </w:numPr>
        <w:spacing w:after="0" w:line="240" w:lineRule="auto"/>
        <w:jc w:val="both"/>
      </w:pPr>
      <w:r>
        <w:t>Dynamic power sharing</w:t>
      </w:r>
    </w:p>
    <w:p w14:paraId="7FE63D30" w14:textId="77777777" w:rsidR="000C0635" w:rsidRDefault="000C0635" w:rsidP="000C0635">
      <w:pPr>
        <w:numPr>
          <w:ilvl w:val="1"/>
          <w:numId w:val="21"/>
        </w:numPr>
        <w:spacing w:after="0" w:line="240" w:lineRule="auto"/>
        <w:jc w:val="both"/>
      </w:pPr>
      <w:r>
        <w:t xml:space="preserve">For EN-DC, a UE supporting ‘dynamic power sharing’ capability can scale down/drop NR (SCG) transmissions when power limited. Details of scaling down/dropping are left to UE implementation. </w:t>
      </w:r>
    </w:p>
    <w:p w14:paraId="3EC656AB" w14:textId="77777777" w:rsidR="000C0635" w:rsidRDefault="000C0635" w:rsidP="000C0635">
      <w:pPr>
        <w:numPr>
          <w:ilvl w:val="1"/>
          <w:numId w:val="21"/>
        </w:numPr>
        <w:spacing w:after="0" w:line="240" w:lineRule="auto"/>
        <w:jc w:val="both"/>
      </w:pPr>
      <w:r>
        <w:t xml:space="preserve">Similar capability should be supported for option 4/4A. In this case, the UE should be able to scale down/drop LTE (SCG) transmissions when power limited, and the details of scaling/dropping can be left to UE implementation. </w:t>
      </w:r>
    </w:p>
    <w:p w14:paraId="59F7BE41" w14:textId="77777777" w:rsidR="000C0635" w:rsidRDefault="000C0635" w:rsidP="000C0635">
      <w:pPr>
        <w:numPr>
          <w:ilvl w:val="1"/>
          <w:numId w:val="21"/>
        </w:numPr>
        <w:spacing w:after="0" w:line="240" w:lineRule="auto"/>
        <w:jc w:val="both"/>
      </w:pPr>
      <w:r>
        <w:t>Given that UE implementation aspects/constraints for Option 4/4A would be different from that of EN-DC, the capability bits for Option 4/4A dynamic power sharing should be separate from those already specified for EN-DC</w:t>
      </w:r>
    </w:p>
    <w:p w14:paraId="104A9F2E" w14:textId="77777777" w:rsidR="000C0635" w:rsidRDefault="000C0635" w:rsidP="000C0635">
      <w:pPr>
        <w:numPr>
          <w:ilvl w:val="0"/>
          <w:numId w:val="21"/>
        </w:numPr>
        <w:spacing w:after="0" w:line="240" w:lineRule="auto"/>
        <w:jc w:val="both"/>
      </w:pPr>
      <w:r>
        <w:t>Semi-static partitioning of LTE and NR UL transmissions</w:t>
      </w:r>
    </w:p>
    <w:p w14:paraId="19C959D7" w14:textId="77777777" w:rsidR="000C0635" w:rsidRDefault="000C0635" w:rsidP="000C0635">
      <w:pPr>
        <w:numPr>
          <w:ilvl w:val="1"/>
          <w:numId w:val="21"/>
        </w:numPr>
        <w:spacing w:after="0" w:line="240" w:lineRule="auto"/>
        <w:jc w:val="both"/>
      </w:pPr>
      <w:r>
        <w:t xml:space="preserve">For EN-DC, Case1-OperationA [2] behavior is supported, where network can restrict LTE UL transmissions to a subset of subframes via RRC signaling on LTE side (i.e., by configuring Case1 reference TDD UL/DL configuration for LTE including LTE FDD Pcell). When such reference configuration is indicated, and when the UE does not support dynamic power sharing, the UE is </w:t>
      </w:r>
      <w:r>
        <w:rPr>
          <w:lang w:eastAsia="zh-CN"/>
        </w:rPr>
        <w:t xml:space="preserve">not expected to make NR transmissions in </w:t>
      </w:r>
      <w:r>
        <w:t xml:space="preserve">slots corresponding to UL </w:t>
      </w:r>
      <w:r>
        <w:lastRenderedPageBreak/>
        <w:t xml:space="preserve">subframes indicated by the RRC signaling on LTE side (i.e., the UL subframes of Case1 reference TDD UL/DL configuration). </w:t>
      </w:r>
    </w:p>
    <w:p w14:paraId="5C885470" w14:textId="77777777" w:rsidR="000C0635" w:rsidRDefault="000C0635" w:rsidP="000C0635">
      <w:pPr>
        <w:numPr>
          <w:ilvl w:val="1"/>
          <w:numId w:val="21"/>
        </w:numPr>
        <w:spacing w:after="0" w:line="240" w:lineRule="auto"/>
        <w:jc w:val="both"/>
      </w:pPr>
      <w:r>
        <w:t>Similar framework can be supported for Option4/4A, for UEs not supporting dynamic power sharing, by replicating the changes agreed for LTE Pcell UE behavior to LTE PScell UE behavior.</w:t>
      </w:r>
    </w:p>
    <w:p w14:paraId="751C2387" w14:textId="77777777" w:rsidR="000C0635" w:rsidRDefault="000C0635" w:rsidP="000C0635">
      <w:pPr>
        <w:jc w:val="both"/>
      </w:pPr>
    </w:p>
    <w:p w14:paraId="538BDFE3" w14:textId="77777777" w:rsidR="000C0635" w:rsidRDefault="000C0635" w:rsidP="000C0635">
      <w:pPr>
        <w:jc w:val="both"/>
      </w:pPr>
      <w:r>
        <w:t>In summary, we propose the following high-level framework for Option 4/4A power sharing between NR and LTE</w:t>
      </w:r>
    </w:p>
    <w:p w14:paraId="3818EC65" w14:textId="77777777" w:rsidR="000C0635" w:rsidRDefault="000C0635" w:rsidP="000C0635">
      <w:pPr>
        <w:pStyle w:val="BodyText"/>
        <w:rPr>
          <w:b/>
          <w:u w:val="single"/>
        </w:rPr>
      </w:pPr>
      <w:r w:rsidRPr="00CE08A1">
        <w:rPr>
          <w:b/>
          <w:u w:val="single"/>
        </w:rPr>
        <w:t xml:space="preserve">Proposal </w:t>
      </w:r>
    </w:p>
    <w:p w14:paraId="2F31ABDE" w14:textId="77777777" w:rsidR="000C0635" w:rsidRPr="00967BE6" w:rsidRDefault="000C0635" w:rsidP="000C0635">
      <w:pPr>
        <w:pStyle w:val="BodyText"/>
        <w:numPr>
          <w:ilvl w:val="0"/>
          <w:numId w:val="22"/>
        </w:numPr>
        <w:spacing w:after="120" w:line="240" w:lineRule="auto"/>
        <w:jc w:val="both"/>
        <w:rPr>
          <w:b/>
          <w:u w:val="single"/>
        </w:rPr>
      </w:pPr>
      <w:r>
        <w:t>P_LTE and P_NR signaling defined for EN-DC should be reused for Option 4/4A</w:t>
      </w:r>
    </w:p>
    <w:p w14:paraId="1F9B40F0" w14:textId="77777777" w:rsidR="000C0635" w:rsidRPr="00967BE6" w:rsidRDefault="000C0635" w:rsidP="000C0635">
      <w:pPr>
        <w:pStyle w:val="BodyText"/>
        <w:numPr>
          <w:ilvl w:val="0"/>
          <w:numId w:val="22"/>
        </w:numPr>
        <w:spacing w:after="120" w:line="240" w:lineRule="auto"/>
        <w:jc w:val="both"/>
        <w:rPr>
          <w:b/>
          <w:u w:val="single"/>
        </w:rPr>
      </w:pPr>
      <w:r>
        <w:t>Dynamic power sharing capability should be supported for Option 4/4A</w:t>
      </w:r>
    </w:p>
    <w:p w14:paraId="2216F023" w14:textId="77777777" w:rsidR="000C0635" w:rsidRPr="00967BE6" w:rsidRDefault="000C0635" w:rsidP="000C0635">
      <w:pPr>
        <w:pStyle w:val="BodyText"/>
        <w:numPr>
          <w:ilvl w:val="1"/>
          <w:numId w:val="22"/>
        </w:numPr>
        <w:spacing w:after="120" w:line="240" w:lineRule="auto"/>
        <w:jc w:val="both"/>
        <w:rPr>
          <w:b/>
          <w:u w:val="single"/>
        </w:rPr>
      </w:pPr>
      <w:r>
        <w:t>UE should scale down/drop LTE (SCG) transmissions when power limited, and the details of scaling/dropping can be left to UE implementation.</w:t>
      </w:r>
    </w:p>
    <w:p w14:paraId="650723FD" w14:textId="77777777" w:rsidR="000C0635" w:rsidRPr="00967BE6" w:rsidRDefault="000C0635" w:rsidP="000C0635">
      <w:pPr>
        <w:pStyle w:val="BodyText"/>
        <w:numPr>
          <w:ilvl w:val="1"/>
          <w:numId w:val="22"/>
        </w:numPr>
        <w:spacing w:after="120" w:line="240" w:lineRule="auto"/>
        <w:jc w:val="both"/>
        <w:rPr>
          <w:b/>
          <w:u w:val="single"/>
        </w:rPr>
      </w:pPr>
      <w:r>
        <w:t>The capability bits for Option 4/4A dynamic power sharing should be separate from those already specified for EN-DC.</w:t>
      </w:r>
    </w:p>
    <w:p w14:paraId="5DFC805E" w14:textId="4074A6FD" w:rsidR="000C0635" w:rsidRPr="00967BE6" w:rsidRDefault="004266EE" w:rsidP="000C0635">
      <w:pPr>
        <w:pStyle w:val="BodyText"/>
        <w:numPr>
          <w:ilvl w:val="0"/>
          <w:numId w:val="22"/>
        </w:numPr>
        <w:spacing w:after="120" w:line="240" w:lineRule="auto"/>
        <w:jc w:val="both"/>
        <w:rPr>
          <w:b/>
          <w:u w:val="single"/>
        </w:rPr>
      </w:pPr>
      <w:r>
        <w:t>For support of s</w:t>
      </w:r>
      <w:r w:rsidR="000C0635">
        <w:t>emi-static partitioning of LTE and NR UL transmissions similar to Case1-OperationA agreed for EN-DC (for UEs not supporting dynamic power sharing)</w:t>
      </w:r>
      <w:r w:rsidR="00B2764C">
        <w:t>,</w:t>
      </w:r>
      <w:r w:rsidR="000C0635">
        <w:t xml:space="preserve"> the changes agreed so far for LTE Pcell UE behavior </w:t>
      </w:r>
      <w:r>
        <w:t>can be replicated for</w:t>
      </w:r>
      <w:r w:rsidR="000C0635">
        <w:t xml:space="preserve"> LTE PScell</w:t>
      </w:r>
    </w:p>
    <w:p w14:paraId="6E028699" w14:textId="77777777" w:rsidR="000C0635" w:rsidRPr="00E24AEA" w:rsidRDefault="000C0635" w:rsidP="00E24AEA">
      <w:pPr>
        <w:rPr>
          <w:i/>
          <w:color w:val="FF0000"/>
          <w:lang w:val="en-GB" w:eastAsia="zh-CN"/>
        </w:rPr>
      </w:pPr>
    </w:p>
    <w:p w14:paraId="51617AFB" w14:textId="75EB586B" w:rsidR="00C01F33" w:rsidRDefault="00C01F33" w:rsidP="00CE0424">
      <w:pPr>
        <w:pStyle w:val="Heading1"/>
      </w:pPr>
      <w:r w:rsidRPr="00CE0424">
        <w:t>Conclusion</w:t>
      </w:r>
    </w:p>
    <w:p w14:paraId="60ABE5A6" w14:textId="333351C4" w:rsidR="002149E7" w:rsidRDefault="001206B3" w:rsidP="002149E7">
      <w:pPr>
        <w:rPr>
          <w:lang w:val="en-GB" w:eastAsia="zh-CN"/>
        </w:rPr>
      </w:pPr>
      <w:r>
        <w:rPr>
          <w:lang w:val="en-GB" w:eastAsia="zh-CN"/>
        </w:rPr>
        <w:t>W</w:t>
      </w:r>
      <w:r w:rsidR="00D916CD">
        <w:rPr>
          <w:lang w:val="en-GB" w:eastAsia="zh-CN"/>
        </w:rPr>
        <w:t>e propose the following</w:t>
      </w:r>
      <w:r>
        <w:rPr>
          <w:lang w:val="en-GB" w:eastAsia="zh-CN"/>
        </w:rPr>
        <w:t xml:space="preserve"> on remaining aspects related to NR-LTE coexistence</w:t>
      </w:r>
      <w:r w:rsidR="00D916CD">
        <w:rPr>
          <w:lang w:val="en-GB" w:eastAsia="zh-CN"/>
        </w:rPr>
        <w:t>:</w:t>
      </w:r>
    </w:p>
    <w:p w14:paraId="132C9BF7" w14:textId="54E6547F" w:rsidR="001206B3" w:rsidRDefault="001206B3" w:rsidP="001206B3">
      <w:pPr>
        <w:pStyle w:val="BodyText"/>
        <w:rPr>
          <w:b/>
          <w:u w:val="single"/>
        </w:rPr>
      </w:pPr>
      <w:r w:rsidRPr="00CE08A1">
        <w:rPr>
          <w:b/>
          <w:u w:val="single"/>
        </w:rPr>
        <w:t>Proposal</w:t>
      </w:r>
      <w:r>
        <w:rPr>
          <w:b/>
          <w:u w:val="single"/>
        </w:rPr>
        <w:t xml:space="preserve"> 1</w:t>
      </w:r>
      <w:r w:rsidRPr="00CE08A1">
        <w:rPr>
          <w:b/>
          <w:u w:val="single"/>
        </w:rPr>
        <w:t xml:space="preserve"> </w:t>
      </w:r>
    </w:p>
    <w:p w14:paraId="1FD52AD3" w14:textId="52D48F0A" w:rsidR="00BC580F" w:rsidRPr="00DB562C" w:rsidRDefault="00BC580F" w:rsidP="00BC580F">
      <w:pPr>
        <w:pStyle w:val="ListParagraph"/>
        <w:numPr>
          <w:ilvl w:val="0"/>
          <w:numId w:val="20"/>
        </w:numPr>
        <w:rPr>
          <w:i/>
          <w:lang w:val="en-GB" w:eastAsia="zh-CN"/>
        </w:rPr>
      </w:pPr>
      <w:r w:rsidRPr="00DB562C">
        <w:rPr>
          <w:i/>
          <w:lang w:val="en-GB" w:eastAsia="zh-CN"/>
        </w:rPr>
        <w:t>For case 1</w:t>
      </w:r>
      <w:r w:rsidR="00A16157">
        <w:rPr>
          <w:i/>
          <w:lang w:val="en-GB" w:eastAsia="zh-CN"/>
        </w:rPr>
        <w:t>,</w:t>
      </w:r>
      <w:r w:rsidRPr="00DB562C">
        <w:rPr>
          <w:i/>
          <w:lang w:val="en-GB" w:eastAsia="zh-CN"/>
        </w:rPr>
        <w:t xml:space="preserve"> </w:t>
      </w:r>
      <w:r>
        <w:rPr>
          <w:i/>
          <w:lang w:val="en-GB" w:eastAsia="zh-CN"/>
        </w:rPr>
        <w:t>when operating multiple FDD LTE carriers</w:t>
      </w:r>
      <w:r w:rsidR="00A16157">
        <w:rPr>
          <w:i/>
          <w:lang w:val="en-GB" w:eastAsia="zh-CN"/>
        </w:rPr>
        <w:t xml:space="preserve">, </w:t>
      </w:r>
      <w:r w:rsidR="0074686B">
        <w:rPr>
          <w:i/>
          <w:lang w:val="en-GB" w:eastAsia="zh-CN"/>
        </w:rPr>
        <w:t xml:space="preserve">the </w:t>
      </w:r>
      <w:r w:rsidR="00A16157">
        <w:rPr>
          <w:i/>
          <w:lang w:val="en-GB" w:eastAsia="zh-CN"/>
        </w:rPr>
        <w:t>preferred</w:t>
      </w:r>
      <w:r w:rsidRPr="00DB562C">
        <w:rPr>
          <w:i/>
          <w:lang w:val="en-GB" w:eastAsia="zh-CN"/>
        </w:rPr>
        <w:t xml:space="preserve"> approach is to configure the same DL reference configuration across all the aggregated LTE carriers. </w:t>
      </w:r>
    </w:p>
    <w:p w14:paraId="3A5667B4" w14:textId="0099E392" w:rsidR="00BC580F" w:rsidRDefault="0074686B" w:rsidP="002149E7">
      <w:pPr>
        <w:pStyle w:val="ListParagraph"/>
        <w:numPr>
          <w:ilvl w:val="0"/>
          <w:numId w:val="20"/>
        </w:numPr>
        <w:rPr>
          <w:i/>
          <w:lang w:val="en-GB" w:eastAsia="zh-CN"/>
        </w:rPr>
      </w:pPr>
      <w:r>
        <w:rPr>
          <w:i/>
          <w:lang w:val="en-GB" w:eastAsia="zh-CN"/>
        </w:rPr>
        <w:t>F</w:t>
      </w:r>
      <w:r w:rsidR="00A72C46">
        <w:rPr>
          <w:i/>
          <w:lang w:val="en-GB" w:eastAsia="zh-CN"/>
        </w:rPr>
        <w:t xml:space="preserve">urther enhancements to case 1 HARQ timing </w:t>
      </w:r>
      <w:r w:rsidR="00A16157">
        <w:rPr>
          <w:i/>
          <w:lang w:val="en-GB" w:eastAsia="zh-CN"/>
        </w:rPr>
        <w:t xml:space="preserve">should </w:t>
      </w:r>
      <w:r w:rsidR="00A72C46">
        <w:rPr>
          <w:i/>
          <w:lang w:val="en-GB" w:eastAsia="zh-CN"/>
        </w:rPr>
        <w:t xml:space="preserve">not </w:t>
      </w:r>
      <w:r w:rsidR="00A16157">
        <w:rPr>
          <w:i/>
          <w:lang w:val="en-GB" w:eastAsia="zh-CN"/>
        </w:rPr>
        <w:t xml:space="preserve">be </w:t>
      </w:r>
      <w:r w:rsidR="00A72C46">
        <w:rPr>
          <w:i/>
          <w:lang w:val="en-GB" w:eastAsia="zh-CN"/>
        </w:rPr>
        <w:t>consider</w:t>
      </w:r>
      <w:r w:rsidR="00A16157">
        <w:rPr>
          <w:i/>
          <w:lang w:val="en-GB" w:eastAsia="zh-CN"/>
        </w:rPr>
        <w:t>ed</w:t>
      </w:r>
    </w:p>
    <w:p w14:paraId="52577263" w14:textId="1AF6135D" w:rsidR="001206B3" w:rsidRDefault="001206B3" w:rsidP="001206B3">
      <w:r>
        <w:t>For Option 4/4A power sharing between NR and LTE, we propose the following high-level framework</w:t>
      </w:r>
    </w:p>
    <w:p w14:paraId="334702F6" w14:textId="23238739" w:rsidR="001206B3" w:rsidRDefault="001206B3" w:rsidP="001206B3">
      <w:pPr>
        <w:pStyle w:val="BodyText"/>
        <w:rPr>
          <w:b/>
          <w:u w:val="single"/>
        </w:rPr>
      </w:pPr>
      <w:r w:rsidRPr="00CE08A1">
        <w:rPr>
          <w:b/>
          <w:u w:val="single"/>
        </w:rPr>
        <w:t xml:space="preserve">Proposal </w:t>
      </w:r>
      <w:r>
        <w:rPr>
          <w:b/>
          <w:u w:val="single"/>
        </w:rPr>
        <w:t>2</w:t>
      </w:r>
    </w:p>
    <w:p w14:paraId="46496212" w14:textId="77777777" w:rsidR="001206B3" w:rsidRPr="00E24AEA" w:rsidRDefault="001206B3" w:rsidP="001206B3">
      <w:pPr>
        <w:pStyle w:val="BodyText"/>
        <w:numPr>
          <w:ilvl w:val="0"/>
          <w:numId w:val="22"/>
        </w:numPr>
        <w:spacing w:after="120" w:line="240" w:lineRule="auto"/>
        <w:jc w:val="both"/>
        <w:rPr>
          <w:b/>
          <w:i/>
          <w:u w:val="single"/>
        </w:rPr>
      </w:pPr>
      <w:r w:rsidRPr="00E24AEA">
        <w:rPr>
          <w:i/>
        </w:rPr>
        <w:t>P_LTE and P_NR signaling defined for EN-DC should be reused for Option 4/4A</w:t>
      </w:r>
    </w:p>
    <w:p w14:paraId="08442A0E" w14:textId="77777777" w:rsidR="001206B3" w:rsidRPr="00E24AEA" w:rsidRDefault="001206B3" w:rsidP="001206B3">
      <w:pPr>
        <w:pStyle w:val="BodyText"/>
        <w:numPr>
          <w:ilvl w:val="0"/>
          <w:numId w:val="22"/>
        </w:numPr>
        <w:spacing w:after="120" w:line="240" w:lineRule="auto"/>
        <w:jc w:val="both"/>
        <w:rPr>
          <w:b/>
          <w:i/>
          <w:u w:val="single"/>
        </w:rPr>
      </w:pPr>
      <w:r w:rsidRPr="00E24AEA">
        <w:rPr>
          <w:i/>
        </w:rPr>
        <w:t>Dynamic power sharing capability should be supported for Option 4/4A</w:t>
      </w:r>
    </w:p>
    <w:p w14:paraId="3A0E0293" w14:textId="77777777" w:rsidR="001206B3" w:rsidRPr="00E24AEA" w:rsidRDefault="001206B3" w:rsidP="001206B3">
      <w:pPr>
        <w:pStyle w:val="BodyText"/>
        <w:numPr>
          <w:ilvl w:val="1"/>
          <w:numId w:val="22"/>
        </w:numPr>
        <w:spacing w:after="120" w:line="240" w:lineRule="auto"/>
        <w:jc w:val="both"/>
        <w:rPr>
          <w:b/>
          <w:i/>
          <w:u w:val="single"/>
        </w:rPr>
      </w:pPr>
      <w:r w:rsidRPr="00E24AEA">
        <w:rPr>
          <w:i/>
        </w:rPr>
        <w:t>UE should scale down/drop LTE (SCG) transmissions when power limited, and the details of scaling/dropping can be left to UE implementation.</w:t>
      </w:r>
    </w:p>
    <w:p w14:paraId="468590AD" w14:textId="77777777" w:rsidR="001206B3" w:rsidRPr="00E24AEA" w:rsidRDefault="001206B3" w:rsidP="001206B3">
      <w:pPr>
        <w:pStyle w:val="BodyText"/>
        <w:numPr>
          <w:ilvl w:val="1"/>
          <w:numId w:val="22"/>
        </w:numPr>
        <w:spacing w:after="120" w:line="240" w:lineRule="auto"/>
        <w:jc w:val="both"/>
        <w:rPr>
          <w:b/>
          <w:i/>
          <w:u w:val="single"/>
        </w:rPr>
      </w:pPr>
      <w:r w:rsidRPr="00E24AEA">
        <w:rPr>
          <w:i/>
        </w:rPr>
        <w:t>The capability bits for Option 4/4A dynamic power sharing should be separate from those already specified for EN-DC.</w:t>
      </w:r>
    </w:p>
    <w:p w14:paraId="265B05D6" w14:textId="13DDD658" w:rsidR="004266EE" w:rsidRPr="00E24AEA" w:rsidRDefault="004266EE" w:rsidP="001206B3">
      <w:pPr>
        <w:pStyle w:val="BodyText"/>
        <w:numPr>
          <w:ilvl w:val="0"/>
          <w:numId w:val="22"/>
        </w:numPr>
        <w:spacing w:after="120" w:line="240" w:lineRule="auto"/>
        <w:jc w:val="both"/>
        <w:rPr>
          <w:b/>
          <w:i/>
          <w:u w:val="single"/>
        </w:rPr>
      </w:pPr>
      <w:r>
        <w:t>For support of semi-static partitioning of LTE and NR UL transmissions similar to Case1-OperationA agreed for EN-DC (for UEs not supporting dynamic power sharing)</w:t>
      </w:r>
      <w:r w:rsidR="00B2764C">
        <w:t>,</w:t>
      </w:r>
      <w:r>
        <w:t xml:space="preserve"> the changes agreed so far for LTE Pcell UE behavior can be replicated for LTE PScell</w:t>
      </w:r>
    </w:p>
    <w:p w14:paraId="7E24D454" w14:textId="77777777" w:rsidR="00F507D1" w:rsidRPr="00D53CED" w:rsidRDefault="00F507D1" w:rsidP="0009033B">
      <w:pPr>
        <w:pStyle w:val="Heading1"/>
      </w:pPr>
      <w:r w:rsidRPr="00D53CED">
        <w:t>References</w:t>
      </w:r>
    </w:p>
    <w:p w14:paraId="70234F4E" w14:textId="0309FF8F" w:rsidR="00382455" w:rsidRDefault="00382455" w:rsidP="00EE22C6">
      <w:pPr>
        <w:pStyle w:val="Reference"/>
        <w:numPr>
          <w:ilvl w:val="0"/>
          <w:numId w:val="0"/>
        </w:numPr>
        <w:ind w:left="567"/>
        <w:rPr>
          <w:rFonts w:ascii="Times New Roman"/>
        </w:rPr>
      </w:pPr>
    </w:p>
    <w:p w14:paraId="1C224326" w14:textId="76A6BA87" w:rsidR="000F65A0" w:rsidRDefault="000F65A0" w:rsidP="000F65A0">
      <w:pPr>
        <w:rPr>
          <w:rFonts w:eastAsia="MS Mincho"/>
          <w:lang w:val="fr-FR" w:eastAsia="ja-JP"/>
        </w:rPr>
      </w:pPr>
      <w:r w:rsidRPr="00003F89">
        <w:rPr>
          <w:lang w:val="en-GB" w:eastAsia="zh-CN"/>
        </w:rPr>
        <w:lastRenderedPageBreak/>
        <w:t xml:space="preserve">[1] </w:t>
      </w:r>
      <w:r w:rsidRPr="003E6484">
        <w:rPr>
          <w:lang w:val="en-AU"/>
        </w:rPr>
        <w:t>R</w:t>
      </w:r>
      <w:r>
        <w:rPr>
          <w:lang w:val="en-AU"/>
        </w:rPr>
        <w:t>P-180554 – “</w:t>
      </w:r>
      <w:r w:rsidRPr="000F65A0">
        <w:t>Plan for finalizing all NR architecture options</w:t>
      </w:r>
      <w:r>
        <w:rPr>
          <w:lang w:val="en-AU"/>
        </w:rPr>
        <w:t>”</w:t>
      </w:r>
      <w:r>
        <w:rPr>
          <w:rFonts w:eastAsia="MS Mincho"/>
          <w:lang w:eastAsia="ja-JP"/>
        </w:rPr>
        <w:t xml:space="preserve">, </w:t>
      </w:r>
      <w:r w:rsidRPr="000F65A0">
        <w:rPr>
          <w:rFonts w:eastAsia="MS Mincho"/>
          <w:lang w:eastAsia="ja-JP"/>
        </w:rPr>
        <w:t xml:space="preserve">TSG-RAN Chair, RAN WG3 </w:t>
      </w:r>
      <w:r w:rsidRPr="000F65A0">
        <w:rPr>
          <w:rFonts w:eastAsia="MS Mincho"/>
          <w:lang w:val="fr-FR" w:eastAsia="ja-JP"/>
        </w:rPr>
        <w:t>Chair, RAN WG2 Chair, RAN WG1 Chair, RAN WG4 Chair</w:t>
      </w:r>
      <w:r>
        <w:rPr>
          <w:rFonts w:eastAsia="MS Mincho"/>
          <w:lang w:val="fr-FR" w:eastAsia="ja-JP"/>
        </w:rPr>
        <w:t>, RAN#79, Chennai, India, March 2018.</w:t>
      </w:r>
    </w:p>
    <w:p w14:paraId="754EC740" w14:textId="6A9CB286" w:rsidR="000F65A0" w:rsidRPr="000F65A0" w:rsidRDefault="000F65A0" w:rsidP="000F65A0">
      <w:pPr>
        <w:rPr>
          <w:rFonts w:eastAsia="MS Mincho"/>
          <w:lang w:eastAsia="ja-JP"/>
        </w:rPr>
      </w:pPr>
      <w:r>
        <w:rPr>
          <w:rFonts w:eastAsia="MS Mincho"/>
          <w:lang w:eastAsia="ja-JP"/>
        </w:rPr>
        <w:t>[2] 3GPP RAN1#91 Chairman notes</w:t>
      </w:r>
      <w:r w:rsidR="00A60901">
        <w:rPr>
          <w:rFonts w:eastAsia="MS Mincho"/>
          <w:lang w:eastAsia="ja-JP"/>
        </w:rPr>
        <w:t>, Reno, USA, November 2017</w:t>
      </w:r>
      <w:r>
        <w:rPr>
          <w:rFonts w:eastAsia="MS Mincho"/>
          <w:lang w:eastAsia="ja-JP"/>
        </w:rPr>
        <w:t>.</w:t>
      </w:r>
    </w:p>
    <w:p w14:paraId="319DD5F6" w14:textId="78222012" w:rsidR="000F65A0" w:rsidRDefault="000F65A0" w:rsidP="00EE22C6">
      <w:pPr>
        <w:pStyle w:val="Reference"/>
        <w:numPr>
          <w:ilvl w:val="0"/>
          <w:numId w:val="0"/>
        </w:numPr>
        <w:ind w:left="567"/>
        <w:rPr>
          <w:rFonts w:ascii="Times New Roman"/>
        </w:rPr>
      </w:pPr>
    </w:p>
    <w:p w14:paraId="24A94354" w14:textId="0706663D" w:rsidR="00D20766" w:rsidRDefault="00D20766" w:rsidP="00E24AEA">
      <w:pPr>
        <w:pStyle w:val="Heading1"/>
      </w:pPr>
      <w:r>
        <w:t>Annex A – Relevant RAN</w:t>
      </w:r>
      <w:r w:rsidR="00A16157">
        <w:t>1</w:t>
      </w:r>
      <w:r>
        <w:t xml:space="preserve"> Agreements </w:t>
      </w:r>
    </w:p>
    <w:p w14:paraId="756BEA34" w14:textId="77777777" w:rsidR="00D20766" w:rsidRDefault="00D20766" w:rsidP="00D20766">
      <w:pPr>
        <w:rPr>
          <w:u w:val="single"/>
        </w:rPr>
      </w:pPr>
    </w:p>
    <w:p w14:paraId="4804C12E" w14:textId="77777777" w:rsidR="00D20766" w:rsidRPr="00650611" w:rsidRDefault="00D20766" w:rsidP="00D20766">
      <w:pPr>
        <w:rPr>
          <w:u w:val="single"/>
        </w:rPr>
      </w:pPr>
      <w:r w:rsidRPr="00650611">
        <w:rPr>
          <w:u w:val="single"/>
        </w:rPr>
        <w:t>In RAN1 NR AH#2, the following was agreed</w:t>
      </w:r>
    </w:p>
    <w:p w14:paraId="7973D7F3" w14:textId="77777777" w:rsidR="00D20766" w:rsidRPr="00AF20FF" w:rsidRDefault="00D20766" w:rsidP="00D20766">
      <w:pPr>
        <w:rPr>
          <w:rFonts w:eastAsia="MS Mincho"/>
          <w:b/>
          <w:szCs w:val="20"/>
          <w:u w:val="single"/>
          <w:lang w:eastAsia="ja-JP"/>
        </w:rPr>
      </w:pPr>
      <w:r w:rsidRPr="00AF20FF">
        <w:rPr>
          <w:rFonts w:eastAsia="MS Mincho"/>
          <w:b/>
          <w:szCs w:val="20"/>
          <w:highlight w:val="green"/>
          <w:u w:val="single"/>
          <w:lang w:eastAsia="ja-JP"/>
        </w:rPr>
        <w:t>Agreements</w:t>
      </w:r>
      <w:r w:rsidRPr="00AF20FF">
        <w:rPr>
          <w:rFonts w:eastAsia="MS Mincho"/>
          <w:b/>
          <w:szCs w:val="20"/>
          <w:u w:val="single"/>
          <w:lang w:eastAsia="ja-JP"/>
        </w:rPr>
        <w:t>:</w:t>
      </w:r>
    </w:p>
    <w:p w14:paraId="6C30881A" w14:textId="77777777" w:rsidR="00D20766" w:rsidRPr="008023BE" w:rsidRDefault="00D20766" w:rsidP="00D20766">
      <w:pPr>
        <w:numPr>
          <w:ilvl w:val="0"/>
          <w:numId w:val="24"/>
        </w:numPr>
        <w:spacing w:after="0" w:line="240" w:lineRule="auto"/>
        <w:rPr>
          <w:rFonts w:eastAsia="MS Mincho"/>
          <w:szCs w:val="20"/>
          <w:lang w:eastAsia="ja-JP"/>
        </w:rPr>
      </w:pPr>
      <w:r w:rsidRPr="008023BE">
        <w:rPr>
          <w:rFonts w:eastAsia="MS Mincho"/>
          <w:szCs w:val="20"/>
          <w:lang w:eastAsia="ja-JP"/>
        </w:rPr>
        <w:t>Regarding power sharing for LTE-NR dual connectivity, support at least semi-static power sharing between LTE and NR</w:t>
      </w:r>
    </w:p>
    <w:p w14:paraId="1CE22CFB" w14:textId="77777777" w:rsidR="00D20766" w:rsidRPr="006F26E3" w:rsidRDefault="00D20766" w:rsidP="00D20766">
      <w:pPr>
        <w:numPr>
          <w:ilvl w:val="1"/>
          <w:numId w:val="24"/>
        </w:numPr>
        <w:spacing w:after="0" w:line="240" w:lineRule="auto"/>
        <w:rPr>
          <w:rFonts w:eastAsia="MS Mincho"/>
          <w:szCs w:val="20"/>
          <w:lang w:eastAsia="ja-JP"/>
        </w:rPr>
      </w:pPr>
      <w:r w:rsidRPr="006F26E3">
        <w:rPr>
          <w:rFonts w:eastAsia="MS Mincho"/>
          <w:szCs w:val="20"/>
          <w:lang w:eastAsia="ja-JP"/>
        </w:rPr>
        <w:t>FFS details</w:t>
      </w:r>
    </w:p>
    <w:p w14:paraId="2BE46370" w14:textId="77777777" w:rsidR="00D20766" w:rsidRPr="00510CE6" w:rsidRDefault="00D20766" w:rsidP="00D20766">
      <w:pPr>
        <w:numPr>
          <w:ilvl w:val="1"/>
          <w:numId w:val="24"/>
        </w:numPr>
        <w:spacing w:after="0" w:line="240" w:lineRule="auto"/>
        <w:rPr>
          <w:rFonts w:eastAsia="MS Mincho"/>
          <w:szCs w:val="20"/>
          <w:lang w:eastAsia="ja-JP"/>
        </w:rPr>
      </w:pPr>
      <w:r w:rsidRPr="00510CE6">
        <w:rPr>
          <w:rFonts w:eastAsia="MS Mincho"/>
          <w:szCs w:val="20"/>
          <w:lang w:eastAsia="ja-JP"/>
        </w:rPr>
        <w:t>Discuss further whether or not to support dynamic power sharing between LTE and NR</w:t>
      </w:r>
    </w:p>
    <w:p w14:paraId="73C799C0" w14:textId="77777777" w:rsidR="00D20766" w:rsidRPr="00510CE6" w:rsidRDefault="00D20766" w:rsidP="00D20766">
      <w:pPr>
        <w:numPr>
          <w:ilvl w:val="1"/>
          <w:numId w:val="24"/>
        </w:numPr>
        <w:spacing w:after="0" w:line="240" w:lineRule="auto"/>
        <w:rPr>
          <w:rFonts w:eastAsia="MS Mincho"/>
          <w:szCs w:val="20"/>
          <w:lang w:eastAsia="ja-JP"/>
        </w:rPr>
      </w:pPr>
      <w:r w:rsidRPr="00510CE6">
        <w:rPr>
          <w:rFonts w:eastAsia="MS Mincho"/>
          <w:szCs w:val="20"/>
          <w:lang w:eastAsia="ja-JP"/>
        </w:rPr>
        <w:t xml:space="preserve">Discuss further impacts due to other factors, e.g., different TTI lengths, channel/service types, synchronous vs. asynchronous, different processing latency for LTE vs. NR, assumption regarding communication between NR vs. LTE at UE, specification impact to LTE (if any) and/or NR, etc. </w:t>
      </w:r>
    </w:p>
    <w:p w14:paraId="4B624154" w14:textId="77777777" w:rsidR="00D20766" w:rsidRDefault="00D20766" w:rsidP="00D20766"/>
    <w:p w14:paraId="1371009F" w14:textId="77777777" w:rsidR="00D20766" w:rsidRPr="00650611" w:rsidRDefault="00D20766" w:rsidP="00D20766">
      <w:pPr>
        <w:rPr>
          <w:u w:val="single"/>
        </w:rPr>
      </w:pPr>
      <w:r w:rsidRPr="00650611">
        <w:rPr>
          <w:u w:val="single"/>
        </w:rPr>
        <w:t>In RAN1#90, the following was agreed</w:t>
      </w:r>
    </w:p>
    <w:p w14:paraId="713183B7" w14:textId="77777777" w:rsidR="00D20766" w:rsidRPr="00AB4A6D" w:rsidRDefault="00D20766" w:rsidP="00D20766">
      <w:pPr>
        <w:rPr>
          <w:rFonts w:eastAsia="MS Mincho"/>
          <w:lang w:eastAsia="ja-JP"/>
        </w:rPr>
      </w:pPr>
      <w:r w:rsidRPr="004C49B2">
        <w:rPr>
          <w:rFonts w:eastAsia="MS Mincho"/>
          <w:highlight w:val="green"/>
          <w:lang w:eastAsia="ja-JP"/>
        </w:rPr>
        <w:t>Agreements:</w:t>
      </w:r>
    </w:p>
    <w:p w14:paraId="1396E6EA" w14:textId="77777777" w:rsidR="00D20766" w:rsidRPr="00AB4A6D" w:rsidRDefault="00D20766" w:rsidP="00D20766">
      <w:pPr>
        <w:numPr>
          <w:ilvl w:val="0"/>
          <w:numId w:val="25"/>
        </w:numPr>
        <w:tabs>
          <w:tab w:val="left" w:pos="1440"/>
        </w:tabs>
        <w:spacing w:after="0" w:line="240" w:lineRule="auto"/>
        <w:rPr>
          <w:rFonts w:eastAsia="MS Mincho"/>
          <w:lang w:eastAsia="ja-JP"/>
        </w:rPr>
      </w:pPr>
      <w:r w:rsidRPr="00AB4A6D">
        <w:rPr>
          <w:rFonts w:eastAsia="MS Mincho"/>
          <w:lang w:eastAsia="ja-JP"/>
        </w:rPr>
        <w:t>At least for LTE-NR NSA operation</w:t>
      </w:r>
    </w:p>
    <w:p w14:paraId="1F2553FC"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Maximum allowed power values for LTE (P_LTE) and NR (P_NR) are set separately</w:t>
      </w:r>
    </w:p>
    <w:p w14:paraId="7613AE21" w14:textId="77777777" w:rsidR="00D20766" w:rsidRPr="00AB4A6D" w:rsidRDefault="00D20766" w:rsidP="00D20766">
      <w:pPr>
        <w:numPr>
          <w:ilvl w:val="2"/>
          <w:numId w:val="25"/>
        </w:numPr>
        <w:tabs>
          <w:tab w:val="left" w:pos="1440"/>
        </w:tabs>
        <w:spacing w:after="0" w:line="240" w:lineRule="auto"/>
        <w:rPr>
          <w:rFonts w:eastAsia="MS Mincho"/>
          <w:lang w:eastAsia="ja-JP"/>
        </w:rPr>
      </w:pPr>
      <w:r w:rsidRPr="00AB4A6D">
        <w:rPr>
          <w:rFonts w:eastAsia="MS Mincho"/>
          <w:lang w:eastAsia="ja-JP"/>
        </w:rPr>
        <w:t xml:space="preserve">i.e., when UE is configured for NR, P_LTE can be configured up to P_cmax and  P_NR can be configured up to P_cmax. </w:t>
      </w:r>
    </w:p>
    <w:p w14:paraId="6C0C220B" w14:textId="77777777" w:rsidR="00D20766" w:rsidRPr="00AB4A6D" w:rsidRDefault="00D20766" w:rsidP="00D20766">
      <w:pPr>
        <w:numPr>
          <w:ilvl w:val="2"/>
          <w:numId w:val="25"/>
        </w:numPr>
        <w:tabs>
          <w:tab w:val="left" w:pos="1440"/>
        </w:tabs>
        <w:spacing w:after="0" w:line="240" w:lineRule="auto"/>
        <w:rPr>
          <w:rFonts w:eastAsia="MS Mincho"/>
          <w:lang w:eastAsia="ja-JP"/>
        </w:rPr>
      </w:pPr>
      <w:r w:rsidRPr="00AB4A6D">
        <w:rPr>
          <w:rFonts w:eastAsia="MS Mincho"/>
          <w:lang w:eastAsia="ja-JP"/>
        </w:rPr>
        <w:t>e.g. P_LTE + P_NR &gt; P_cmax or P_LTE + P_NR = P_cmax</w:t>
      </w:r>
    </w:p>
    <w:p w14:paraId="2882FC27"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Signaling details for P_LTE, P_NR are left to RAN2, RAN4.</w:t>
      </w:r>
    </w:p>
    <w:p w14:paraId="44103D42"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Note: ‘P_cmax’ is a limit that is similar to ‘The configured maximum UE output power’ that was specified for LTE.</w:t>
      </w:r>
    </w:p>
    <w:p w14:paraId="3E0AE5B1" w14:textId="77777777" w:rsidR="00D20766"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Note: The network will still have flexibility to prioritize or reserve certain NR transmission power depending on network implementation</w:t>
      </w:r>
    </w:p>
    <w:p w14:paraId="431A938A" w14:textId="77777777" w:rsidR="00D20766" w:rsidRPr="00AB4A6D" w:rsidRDefault="00D20766" w:rsidP="00D20766">
      <w:pPr>
        <w:numPr>
          <w:ilvl w:val="1"/>
          <w:numId w:val="25"/>
        </w:numPr>
        <w:tabs>
          <w:tab w:val="left" w:pos="1440"/>
        </w:tabs>
        <w:spacing w:after="0" w:line="240" w:lineRule="auto"/>
        <w:rPr>
          <w:rFonts w:eastAsia="MS Mincho"/>
          <w:lang w:eastAsia="ja-JP"/>
        </w:rPr>
      </w:pPr>
      <w:r>
        <w:rPr>
          <w:rFonts w:eastAsia="MS Mincho"/>
          <w:lang w:eastAsia="ja-JP"/>
        </w:rPr>
        <w:t xml:space="preserve">All UEs are mandated to handle </w:t>
      </w:r>
      <w:r w:rsidRPr="00AB4A6D">
        <w:rPr>
          <w:rFonts w:eastAsia="MS Mincho"/>
          <w:lang w:eastAsia="ja-JP"/>
        </w:rPr>
        <w:t>P_LTE + P_NR = P_cmax</w:t>
      </w:r>
      <w:r>
        <w:rPr>
          <w:rFonts w:eastAsia="MS Mincho"/>
          <w:lang w:eastAsia="ja-JP"/>
        </w:rPr>
        <w:t xml:space="preserve"> while handling of </w:t>
      </w:r>
      <w:r w:rsidRPr="00AB4A6D">
        <w:rPr>
          <w:rFonts w:eastAsia="MS Mincho"/>
          <w:lang w:eastAsia="ja-JP"/>
        </w:rPr>
        <w:t>P_LTE + P_NR &gt; P_cmax</w:t>
      </w:r>
      <w:r>
        <w:rPr>
          <w:rFonts w:eastAsia="MS Mincho"/>
          <w:lang w:eastAsia="ja-JP"/>
        </w:rPr>
        <w:t xml:space="preserve"> depends on UE capability</w:t>
      </w:r>
    </w:p>
    <w:p w14:paraId="6D9ADF9C"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 xml:space="preserve">At least, when DL/UL LTE sTTI/reduced UE processing time based operation is not configured for the UE, if total transmit power exceeds P_cmax when there is simultaneous NR and LTE UL tx, </w:t>
      </w:r>
    </w:p>
    <w:p w14:paraId="698152A3" w14:textId="77777777" w:rsidR="00D20766" w:rsidRPr="004C49B2" w:rsidRDefault="00D20766" w:rsidP="00D20766">
      <w:pPr>
        <w:numPr>
          <w:ilvl w:val="2"/>
          <w:numId w:val="25"/>
        </w:numPr>
        <w:tabs>
          <w:tab w:val="left" w:pos="1440"/>
        </w:tabs>
        <w:spacing w:after="0" w:line="240" w:lineRule="auto"/>
        <w:rPr>
          <w:rFonts w:eastAsia="MS Mincho"/>
          <w:lang w:eastAsia="ja-JP"/>
        </w:rPr>
      </w:pPr>
      <w:r w:rsidRPr="004C49B2">
        <w:rPr>
          <w:rFonts w:eastAsia="MS Mincho"/>
          <w:lang w:eastAsia="ja-JP"/>
        </w:rPr>
        <w:t>For NR, UE scales down/drops NR transmission and NR power scaling details</w:t>
      </w:r>
      <w:r>
        <w:rPr>
          <w:rFonts w:eastAsia="MS Mincho"/>
          <w:lang w:eastAsia="ja-JP"/>
        </w:rPr>
        <w:t xml:space="preserve"> are left to UE implementation (note: it is not intended to have RAN4 test from RAN1 perspective)</w:t>
      </w:r>
    </w:p>
    <w:p w14:paraId="214C37DE" w14:textId="77777777" w:rsidR="00D20766" w:rsidRPr="004C49B2" w:rsidRDefault="00D20766" w:rsidP="00D20766">
      <w:pPr>
        <w:numPr>
          <w:ilvl w:val="3"/>
          <w:numId w:val="25"/>
        </w:numPr>
        <w:tabs>
          <w:tab w:val="left" w:pos="1440"/>
        </w:tabs>
        <w:spacing w:after="0" w:line="240" w:lineRule="auto"/>
        <w:rPr>
          <w:rFonts w:eastAsia="MS Mincho"/>
          <w:lang w:eastAsia="ja-JP"/>
        </w:rPr>
      </w:pPr>
      <w:r w:rsidRPr="004C49B2">
        <w:rPr>
          <w:rFonts w:eastAsia="MS Mincho"/>
          <w:lang w:eastAsia="ja-JP"/>
        </w:rPr>
        <w:t>If there are two or more UL carriers, the power scaling or tx dropping can be performed for each of the UL carriers separately or jointly up to UE implementation</w:t>
      </w:r>
    </w:p>
    <w:p w14:paraId="040814C5" w14:textId="77777777" w:rsidR="00D20766" w:rsidRPr="004C49B2" w:rsidRDefault="00D20766" w:rsidP="00D20766">
      <w:pPr>
        <w:numPr>
          <w:ilvl w:val="2"/>
          <w:numId w:val="25"/>
        </w:numPr>
        <w:tabs>
          <w:tab w:val="left" w:pos="1440"/>
        </w:tabs>
        <w:spacing w:after="0" w:line="240" w:lineRule="auto"/>
        <w:rPr>
          <w:rFonts w:eastAsia="MS Mincho"/>
          <w:lang w:eastAsia="ja-JP"/>
        </w:rPr>
      </w:pPr>
      <w:r w:rsidRPr="004C49B2">
        <w:rPr>
          <w:rFonts w:eastAsia="MS Mincho"/>
          <w:lang w:eastAsia="ja-JP"/>
        </w:rPr>
        <w:t>For LTE, no change in power control procedure</w:t>
      </w:r>
    </w:p>
    <w:p w14:paraId="45118A3B"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FFS the case when DL/UL LTE sTTI/reduced UE processing time based operation is configured for the UE</w:t>
      </w:r>
    </w:p>
    <w:p w14:paraId="4CF0C9E8" w14:textId="77777777" w:rsidR="00D20766" w:rsidRPr="00AB4A6D" w:rsidRDefault="00D20766" w:rsidP="00D20766">
      <w:pPr>
        <w:numPr>
          <w:ilvl w:val="1"/>
          <w:numId w:val="25"/>
        </w:numPr>
        <w:tabs>
          <w:tab w:val="left" w:pos="1440"/>
        </w:tabs>
        <w:spacing w:after="0" w:line="240" w:lineRule="auto"/>
        <w:rPr>
          <w:rFonts w:eastAsia="MS Mincho"/>
          <w:lang w:eastAsia="ja-JP"/>
        </w:rPr>
      </w:pPr>
      <w:r w:rsidRPr="00AB4A6D">
        <w:rPr>
          <w:rFonts w:eastAsia="MS Mincho"/>
          <w:lang w:eastAsia="ja-JP"/>
        </w:rPr>
        <w:t>The following is FFS</w:t>
      </w:r>
    </w:p>
    <w:p w14:paraId="4C7EA644" w14:textId="77777777" w:rsidR="00D20766" w:rsidRPr="00AB4A6D" w:rsidRDefault="00D20766" w:rsidP="00D20766">
      <w:pPr>
        <w:numPr>
          <w:ilvl w:val="2"/>
          <w:numId w:val="25"/>
        </w:numPr>
        <w:tabs>
          <w:tab w:val="left" w:pos="1440"/>
        </w:tabs>
        <w:spacing w:after="0" w:line="240" w:lineRule="auto"/>
        <w:rPr>
          <w:rFonts w:eastAsia="MS Mincho"/>
          <w:lang w:eastAsia="ja-JP"/>
        </w:rPr>
      </w:pPr>
      <w:r w:rsidRPr="00AB4A6D">
        <w:rPr>
          <w:rFonts w:eastAsia="MS Mincho"/>
          <w:lang w:eastAsia="ja-JP"/>
        </w:rPr>
        <w:lastRenderedPageBreak/>
        <w:t>The case when P_NR is configured such that P_NR &lt; P_cmax, and UE can use power up to P_cmax in NR when it knows that there will be no UL transmission in LTE by semi-static configuration (e.g., measurement gap, DL/UL configuration)</w:t>
      </w:r>
    </w:p>
    <w:p w14:paraId="31BD6881" w14:textId="77777777" w:rsidR="00D20766" w:rsidRDefault="00D20766" w:rsidP="00D20766"/>
    <w:p w14:paraId="4A5EE29F" w14:textId="77777777" w:rsidR="00D20766" w:rsidRPr="00650611" w:rsidRDefault="00D20766" w:rsidP="00D20766">
      <w:pPr>
        <w:rPr>
          <w:u w:val="single"/>
        </w:rPr>
      </w:pPr>
      <w:r w:rsidRPr="00650611">
        <w:rPr>
          <w:u w:val="single"/>
        </w:rPr>
        <w:t>In RAN1#91, the following was agreed</w:t>
      </w:r>
    </w:p>
    <w:p w14:paraId="3528CBB9" w14:textId="77777777" w:rsidR="00D20766" w:rsidRDefault="00D20766" w:rsidP="00D20766">
      <w:pPr>
        <w:pStyle w:val="text"/>
        <w:rPr>
          <w:rFonts w:hAnsi="Times New Roman"/>
          <w:sz w:val="20"/>
        </w:rPr>
      </w:pPr>
      <w:r w:rsidRPr="00581C25">
        <w:rPr>
          <w:rFonts w:hAnsi="Times New Roman"/>
          <w:b/>
          <w:sz w:val="20"/>
          <w:highlight w:val="green"/>
        </w:rPr>
        <w:t>Agreement:</w:t>
      </w:r>
      <w:r>
        <w:rPr>
          <w:rFonts w:hAnsi="Times New Roman"/>
          <w:b/>
          <w:sz w:val="20"/>
        </w:rPr>
        <w:br/>
      </w:r>
      <w:r w:rsidRPr="00581C25">
        <w:rPr>
          <w:rFonts w:hAnsi="Times New Roman"/>
          <w:sz w:val="20"/>
        </w:rPr>
        <w:t>For LTE/NR NSA operation,</w:t>
      </w:r>
    </w:p>
    <w:p w14:paraId="791C4980" w14:textId="77777777" w:rsidR="00D20766" w:rsidRPr="00581C25" w:rsidRDefault="00D20766" w:rsidP="00D20766">
      <w:pPr>
        <w:pStyle w:val="text"/>
        <w:numPr>
          <w:ilvl w:val="0"/>
          <w:numId w:val="24"/>
        </w:numPr>
        <w:overflowPunct/>
        <w:autoSpaceDE/>
        <w:autoSpaceDN/>
        <w:adjustRightInd/>
        <w:spacing w:line="240" w:lineRule="auto"/>
        <w:jc w:val="both"/>
        <w:textAlignment w:val="auto"/>
        <w:rPr>
          <w:rFonts w:hAnsi="Times New Roman"/>
          <w:sz w:val="20"/>
        </w:rPr>
      </w:pPr>
      <w:r w:rsidRPr="00581C25">
        <w:rPr>
          <w:rFonts w:hAnsi="Times New Roman"/>
          <w:sz w:val="20"/>
        </w:rPr>
        <w:t>If this UE supports dual UL operation and also supports single UL operation with Case 1 HARQ timing, RRC signaling can configure a UE to operate in one of the following modes:</w:t>
      </w:r>
    </w:p>
    <w:p w14:paraId="4D3CB6C6"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Dual UL operation</w:t>
      </w:r>
    </w:p>
    <w:p w14:paraId="2D3CACC3"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Single UL operation with Case 1 HARQ timing</w:t>
      </w:r>
    </w:p>
    <w:p w14:paraId="0BBC7EB9"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Single UL operation with Case 2 HARQ timing</w:t>
      </w:r>
    </w:p>
    <w:p w14:paraId="5956366E" w14:textId="77777777" w:rsidR="00D20766" w:rsidRPr="00581C25" w:rsidRDefault="00D20766" w:rsidP="00D20766">
      <w:pPr>
        <w:pStyle w:val="bullet1"/>
        <w:spacing w:line="240" w:lineRule="auto"/>
        <w:rPr>
          <w:rFonts w:ascii="Times New Roman" w:hAnsi="Times New Roman"/>
          <w:sz w:val="20"/>
          <w:szCs w:val="20"/>
          <w:lang w:val="en-US"/>
        </w:rPr>
      </w:pPr>
      <w:r w:rsidRPr="00581C25">
        <w:rPr>
          <w:rFonts w:ascii="Times New Roman" w:hAnsi="Times New Roman"/>
          <w:sz w:val="20"/>
          <w:szCs w:val="20"/>
          <w:lang w:val="en-US"/>
        </w:rPr>
        <w:t xml:space="preserve">For UE supporting single UL operation and with Case 1 HARQ timing if UE does not support </w:t>
      </w:r>
      <w:r w:rsidRPr="00581C25">
        <w:rPr>
          <w:rFonts w:ascii="Times New Roman" w:hAnsi="Times New Roman"/>
          <w:i/>
          <w:sz w:val="20"/>
          <w:szCs w:val="20"/>
          <w:lang w:val="en-US"/>
        </w:rPr>
        <w:t>power scaling for LTE-NR DC</w:t>
      </w:r>
      <w:r w:rsidRPr="00581C25">
        <w:rPr>
          <w:rFonts w:ascii="Times New Roman" w:hAnsi="Times New Roman"/>
          <w:sz w:val="20"/>
          <w:szCs w:val="20"/>
          <w:lang w:val="en-US"/>
        </w:rPr>
        <w:t xml:space="preserve"> with P_LTE+P_NR&gt;Pcmax, UE shall support the following two operations:</w:t>
      </w:r>
    </w:p>
    <w:p w14:paraId="5B72EEC7" w14:textId="77777777" w:rsidR="00D20766" w:rsidRPr="00581C25" w:rsidRDefault="00D20766" w:rsidP="00D20766">
      <w:pPr>
        <w:pStyle w:val="bullet2"/>
        <w:spacing w:line="240" w:lineRule="auto"/>
        <w:rPr>
          <w:rFonts w:ascii="Times New Roman" w:hAnsi="Times New Roman"/>
          <w:sz w:val="20"/>
          <w:szCs w:val="20"/>
          <w:lang w:val="en-US"/>
        </w:rPr>
      </w:pPr>
      <w:r w:rsidRPr="00581C25">
        <w:rPr>
          <w:rFonts w:ascii="Times New Roman" w:hAnsi="Times New Roman"/>
          <w:sz w:val="20"/>
          <w:szCs w:val="20"/>
          <w:lang w:val="en-US"/>
        </w:rPr>
        <w:t>Operation A with Case1: P_LTE + P_NR &gt; Pcmax, in which case the UE assumes that no NR UL transmission takes place in an UL subframe/slot that is designated as LTE UL in the Case 1 reference TDD configuration</w:t>
      </w:r>
    </w:p>
    <w:p w14:paraId="633F39CF"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lang w:val="en-US"/>
        </w:rPr>
        <w:t xml:space="preserve">Operation B with Case1: P_LTE + P_NR &lt;= Pcmax, in which case NR UL can be scheduled in any UL subframe/slot (while </w:t>
      </w:r>
      <w:r w:rsidRPr="00581C25">
        <w:rPr>
          <w:rFonts w:ascii="Times New Roman" w:hAnsi="Times New Roman"/>
          <w:sz w:val="20"/>
          <w:szCs w:val="20"/>
        </w:rPr>
        <w:t xml:space="preserve">the UE behaviour in case of being simultaneously scheduled on LTE and NR uplinks is not specified) </w:t>
      </w:r>
    </w:p>
    <w:p w14:paraId="0B999B29"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rPr>
        <w:t xml:space="preserve">The </w:t>
      </w:r>
      <w:r w:rsidRPr="00581C25">
        <w:rPr>
          <w:rFonts w:ascii="Times New Roman" w:hAnsi="Times New Roman"/>
          <w:sz w:val="20"/>
          <w:szCs w:val="20"/>
          <w:lang w:val="en-US"/>
        </w:rPr>
        <w:t>operation</w:t>
      </w:r>
      <w:r w:rsidRPr="00581C25">
        <w:rPr>
          <w:rFonts w:ascii="Times New Roman" w:hAnsi="Times New Roman"/>
          <w:sz w:val="20"/>
          <w:szCs w:val="20"/>
        </w:rPr>
        <w:t xml:space="preserve"> A vs </w:t>
      </w:r>
      <w:r w:rsidRPr="00581C25">
        <w:rPr>
          <w:rFonts w:ascii="Times New Roman" w:hAnsi="Times New Roman"/>
          <w:sz w:val="20"/>
          <w:szCs w:val="20"/>
          <w:lang w:val="en-US"/>
        </w:rPr>
        <w:t>operation</w:t>
      </w:r>
      <w:r w:rsidRPr="00581C25">
        <w:rPr>
          <w:rFonts w:ascii="Times New Roman" w:hAnsi="Times New Roman"/>
          <w:sz w:val="20"/>
          <w:szCs w:val="20"/>
        </w:rPr>
        <w:t xml:space="preserve"> B configuration is implicitly determined based on </w:t>
      </w:r>
      <w:r w:rsidRPr="00581C25">
        <w:rPr>
          <w:rFonts w:ascii="Times New Roman" w:hAnsi="Times New Roman"/>
          <w:sz w:val="20"/>
          <w:szCs w:val="20"/>
          <w:lang w:val="en-US"/>
        </w:rPr>
        <w:t>P_LTE and P_NR</w:t>
      </w:r>
    </w:p>
    <w:p w14:paraId="1EE22905"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rPr>
        <w:t xml:space="preserve">Note that the above agreement does not affect the current status on the optional/mandatory support of </w:t>
      </w:r>
      <w:r w:rsidRPr="00581C25">
        <w:rPr>
          <w:rFonts w:ascii="Times New Roman" w:hAnsi="Times New Roman"/>
          <w:i/>
          <w:sz w:val="20"/>
          <w:szCs w:val="20"/>
          <w:lang w:val="en-US"/>
        </w:rPr>
        <w:t>power scaling for LTE-NR DC</w:t>
      </w:r>
      <w:r w:rsidRPr="00581C25">
        <w:rPr>
          <w:rFonts w:ascii="Times New Roman" w:hAnsi="Times New Roman"/>
          <w:sz w:val="20"/>
          <w:szCs w:val="20"/>
        </w:rPr>
        <w:t xml:space="preserve"> with </w:t>
      </w:r>
      <w:r w:rsidRPr="00581C25">
        <w:rPr>
          <w:rFonts w:ascii="Times New Roman" w:hAnsi="Times New Roman"/>
          <w:sz w:val="20"/>
          <w:szCs w:val="20"/>
          <w:lang w:val="en-US"/>
        </w:rPr>
        <w:t>P_LTE + P_NR &gt; Pcmax</w:t>
      </w:r>
    </w:p>
    <w:p w14:paraId="654C7656" w14:textId="77777777" w:rsidR="00D20766" w:rsidRPr="00581C25" w:rsidRDefault="00D20766" w:rsidP="00D20766">
      <w:pPr>
        <w:pStyle w:val="bullet2"/>
        <w:spacing w:line="240" w:lineRule="auto"/>
        <w:rPr>
          <w:rFonts w:ascii="Times New Roman" w:hAnsi="Times New Roman"/>
          <w:sz w:val="20"/>
          <w:szCs w:val="20"/>
        </w:rPr>
      </w:pPr>
      <w:r w:rsidRPr="00581C25">
        <w:rPr>
          <w:rFonts w:ascii="Times New Roman" w:hAnsi="Times New Roman"/>
          <w:sz w:val="20"/>
          <w:szCs w:val="20"/>
        </w:rPr>
        <w:t xml:space="preserve">Note that the above agreement can become obsolete if </w:t>
      </w:r>
      <w:r w:rsidRPr="00581C25">
        <w:rPr>
          <w:rFonts w:ascii="Times New Roman" w:hAnsi="Times New Roman"/>
          <w:i/>
          <w:sz w:val="20"/>
          <w:szCs w:val="20"/>
          <w:lang w:val="en-US"/>
        </w:rPr>
        <w:t>power scaling for LTE-NR DC</w:t>
      </w:r>
      <w:r w:rsidRPr="00581C25">
        <w:rPr>
          <w:rFonts w:ascii="Times New Roman" w:hAnsi="Times New Roman"/>
          <w:sz w:val="20"/>
          <w:szCs w:val="20"/>
        </w:rPr>
        <w:t xml:space="preserve"> is mandated to all UEs</w:t>
      </w:r>
    </w:p>
    <w:p w14:paraId="4164B30F" w14:textId="77777777" w:rsidR="00D20766" w:rsidRDefault="00D20766" w:rsidP="00D20766"/>
    <w:p w14:paraId="4F361CEA" w14:textId="77777777" w:rsidR="00D20766" w:rsidRPr="00650611" w:rsidRDefault="00D20766" w:rsidP="00D20766">
      <w:pPr>
        <w:rPr>
          <w:u w:val="single"/>
        </w:rPr>
      </w:pPr>
      <w:r w:rsidRPr="00650611">
        <w:rPr>
          <w:u w:val="single"/>
        </w:rPr>
        <w:t>In RAN#78 the following was endorsed</w:t>
      </w:r>
    </w:p>
    <w:p w14:paraId="6A002E5F" w14:textId="77777777" w:rsidR="00D20766" w:rsidRDefault="00D20766" w:rsidP="00D20766"/>
    <w:p w14:paraId="23FFEBE6" w14:textId="77777777" w:rsidR="00D20766" w:rsidRPr="00581C25" w:rsidRDefault="00D20766" w:rsidP="00D20766">
      <w:pPr>
        <w:numPr>
          <w:ilvl w:val="0"/>
          <w:numId w:val="26"/>
        </w:numPr>
        <w:tabs>
          <w:tab w:val="num" w:pos="720"/>
        </w:tabs>
        <w:spacing w:after="0" w:line="240" w:lineRule="auto"/>
      </w:pPr>
      <w:r w:rsidRPr="00581C25">
        <w:t>Proposal 1</w:t>
      </w:r>
    </w:p>
    <w:p w14:paraId="2C0993EC" w14:textId="77777777" w:rsidR="00D20766" w:rsidRPr="00581C25" w:rsidRDefault="00D20766" w:rsidP="00D20766">
      <w:pPr>
        <w:numPr>
          <w:ilvl w:val="1"/>
          <w:numId w:val="26"/>
        </w:numPr>
        <w:tabs>
          <w:tab w:val="num" w:pos="1440"/>
        </w:tabs>
        <w:spacing w:after="0" w:line="240" w:lineRule="auto"/>
      </w:pPr>
      <w:r w:rsidRPr="00581C25">
        <w:t>Agree to introduce Rel-15 capability signaling to indicate whether the UE supports dynamic EN-DC power sharing</w:t>
      </w:r>
    </w:p>
    <w:p w14:paraId="067C9583" w14:textId="77777777" w:rsidR="00D20766" w:rsidRPr="00581C25" w:rsidRDefault="00D20766" w:rsidP="00D20766">
      <w:pPr>
        <w:numPr>
          <w:ilvl w:val="2"/>
          <w:numId w:val="26"/>
        </w:numPr>
        <w:tabs>
          <w:tab w:val="num" w:pos="2160"/>
        </w:tabs>
        <w:spacing w:after="0" w:line="240" w:lineRule="auto"/>
      </w:pPr>
      <w:r w:rsidRPr="00581C25">
        <w:t xml:space="preserve">Dynamic power sharing means that the UE can operate with P_LTE + P_NR &gt; P_powerclass configuration </w:t>
      </w:r>
    </w:p>
    <w:p w14:paraId="74806EB8" w14:textId="77777777" w:rsidR="00D20766" w:rsidRPr="00581C25" w:rsidRDefault="00D20766" w:rsidP="00D20766">
      <w:pPr>
        <w:numPr>
          <w:ilvl w:val="1"/>
          <w:numId w:val="26"/>
        </w:numPr>
        <w:tabs>
          <w:tab w:val="num" w:pos="1440"/>
        </w:tabs>
        <w:spacing w:after="0" w:line="240" w:lineRule="auto"/>
      </w:pPr>
      <w:r w:rsidRPr="00581C25">
        <w:t>Agree that the intent is to make dynamic EN-DC power sharing mandatory at a future time</w:t>
      </w:r>
    </w:p>
    <w:p w14:paraId="7E248885" w14:textId="77777777" w:rsidR="00D20766" w:rsidRPr="00581C25" w:rsidRDefault="00D20766" w:rsidP="00D20766">
      <w:pPr>
        <w:numPr>
          <w:ilvl w:val="1"/>
          <w:numId w:val="26"/>
        </w:numPr>
        <w:tabs>
          <w:tab w:val="num" w:pos="1440"/>
        </w:tabs>
        <w:spacing w:after="0" w:line="240" w:lineRule="auto"/>
      </w:pPr>
      <w:r w:rsidRPr="00581C25">
        <w:t>Check any possible updates on status above in March</w:t>
      </w:r>
    </w:p>
    <w:p w14:paraId="5A9643EF" w14:textId="77777777" w:rsidR="00D20766" w:rsidRPr="00581C25" w:rsidRDefault="00D20766" w:rsidP="00D20766">
      <w:pPr>
        <w:numPr>
          <w:ilvl w:val="0"/>
          <w:numId w:val="26"/>
        </w:numPr>
        <w:tabs>
          <w:tab w:val="num" w:pos="720"/>
        </w:tabs>
        <w:spacing w:after="0" w:line="240" w:lineRule="auto"/>
      </w:pPr>
      <w:r w:rsidRPr="00581C25">
        <w:t>Proposal 2</w:t>
      </w:r>
    </w:p>
    <w:p w14:paraId="51B91E23" w14:textId="77777777" w:rsidR="00D20766" w:rsidRPr="00581C25" w:rsidRDefault="00D20766" w:rsidP="00D20766">
      <w:pPr>
        <w:numPr>
          <w:ilvl w:val="1"/>
          <w:numId w:val="26"/>
        </w:numPr>
        <w:tabs>
          <w:tab w:val="num" w:pos="1440"/>
        </w:tabs>
        <w:spacing w:after="0" w:line="240" w:lineRule="auto"/>
      </w:pPr>
      <w:r w:rsidRPr="00581C25">
        <w:t>For UEs without dynamic LTE-NR power sharing capability, the support of single UL operation (Operation A with Case 1 in Slide 5) is mandatory with capability signalling</w:t>
      </w:r>
    </w:p>
    <w:p w14:paraId="45C5F749" w14:textId="77777777" w:rsidR="00D20766" w:rsidRPr="00581C25" w:rsidRDefault="00D20766" w:rsidP="00D20766">
      <w:pPr>
        <w:numPr>
          <w:ilvl w:val="0"/>
          <w:numId w:val="26"/>
        </w:numPr>
        <w:tabs>
          <w:tab w:val="num" w:pos="720"/>
        </w:tabs>
        <w:spacing w:after="0" w:line="240" w:lineRule="auto"/>
      </w:pPr>
      <w:r w:rsidRPr="00581C25">
        <w:t>Single UL operation is optional for dynamic power sharing capable UEs</w:t>
      </w:r>
    </w:p>
    <w:p w14:paraId="56AC8BCD" w14:textId="77777777" w:rsidR="00D20766" w:rsidRDefault="00D20766" w:rsidP="00D20766">
      <w:pPr>
        <w:pStyle w:val="BodyText"/>
      </w:pPr>
    </w:p>
    <w:p w14:paraId="347C20F9" w14:textId="77777777" w:rsidR="00D20766" w:rsidRDefault="00D20766" w:rsidP="00D20766">
      <w:pPr>
        <w:pStyle w:val="BodyText"/>
        <w:rPr>
          <w:u w:val="single"/>
        </w:rPr>
      </w:pPr>
      <w:r w:rsidRPr="006F6856">
        <w:rPr>
          <w:u w:val="single"/>
        </w:rPr>
        <w:t>In RAN1 NR AH1801 the following was agreed</w:t>
      </w:r>
    </w:p>
    <w:p w14:paraId="1909C0B5" w14:textId="77777777" w:rsidR="00D20766" w:rsidRDefault="00D20766" w:rsidP="00D20766">
      <w:pPr>
        <w:rPr>
          <w:lang w:eastAsia="x-none"/>
        </w:rPr>
      </w:pPr>
      <w:r w:rsidRPr="00130F78">
        <w:rPr>
          <w:highlight w:val="green"/>
          <w:lang w:eastAsia="x-none"/>
        </w:rPr>
        <w:t>Agreement:</w:t>
      </w:r>
    </w:p>
    <w:p w14:paraId="2632A7D6" w14:textId="77777777" w:rsidR="00D20766" w:rsidRDefault="00D20766" w:rsidP="00D20766">
      <w:pPr>
        <w:pStyle w:val="BodyText"/>
        <w:numPr>
          <w:ilvl w:val="0"/>
          <w:numId w:val="28"/>
        </w:numPr>
        <w:spacing w:after="120" w:line="240" w:lineRule="auto"/>
        <w:jc w:val="both"/>
      </w:pPr>
      <w:r>
        <w:t>P_LTE and P_NR are configured separately via UE specific RRC (i.e., as dBm numbers with similar value range as p-Max in LTE)</w:t>
      </w:r>
    </w:p>
    <w:p w14:paraId="005D8C8C" w14:textId="77777777" w:rsidR="00D20766" w:rsidRDefault="00D20766" w:rsidP="00D20766">
      <w:pPr>
        <w:pStyle w:val="BodyText"/>
        <w:numPr>
          <w:ilvl w:val="1"/>
          <w:numId w:val="28"/>
        </w:numPr>
        <w:spacing w:after="120" w:line="240" w:lineRule="auto"/>
        <w:jc w:val="both"/>
      </w:pPr>
      <w:r>
        <w:t>P_LTE and P_NR are UE-specific</w:t>
      </w:r>
    </w:p>
    <w:p w14:paraId="1FE57522" w14:textId="77777777" w:rsidR="00D20766" w:rsidRDefault="00D20766" w:rsidP="00D20766">
      <w:pPr>
        <w:pStyle w:val="BodyText"/>
        <w:numPr>
          <w:ilvl w:val="0"/>
          <w:numId w:val="28"/>
        </w:numPr>
        <w:spacing w:after="120" w:line="240" w:lineRule="auto"/>
        <w:jc w:val="both"/>
      </w:pPr>
      <w:r>
        <w:t>P_cmax for LTE and P_cmax for NR are derived based on P_LTE and/or P_NR (details to be decided by RAN4)</w:t>
      </w:r>
    </w:p>
    <w:p w14:paraId="40CB5B84" w14:textId="77777777" w:rsidR="00D20766" w:rsidRDefault="00D20766" w:rsidP="00D20766">
      <w:pPr>
        <w:pStyle w:val="BodyText"/>
        <w:numPr>
          <w:ilvl w:val="0"/>
          <w:numId w:val="28"/>
        </w:numPr>
        <w:spacing w:after="120" w:line="240" w:lineRule="auto"/>
        <w:jc w:val="both"/>
      </w:pPr>
      <w:r>
        <w:lastRenderedPageBreak/>
        <w:t>RAN4 to define maximum total LTE and NR power in FR1 (X_total) that the UE should never exceed.</w:t>
      </w:r>
    </w:p>
    <w:p w14:paraId="5482A7BA" w14:textId="77777777" w:rsidR="00D20766" w:rsidRDefault="00D20766" w:rsidP="00D20766">
      <w:pPr>
        <w:pStyle w:val="BodyText"/>
        <w:numPr>
          <w:ilvl w:val="0"/>
          <w:numId w:val="28"/>
        </w:numPr>
        <w:spacing w:after="120" w:line="240" w:lineRule="auto"/>
        <w:jc w:val="both"/>
      </w:pPr>
      <w:r>
        <w:t xml:space="preserve">When dynamic power sharing is used, </w:t>
      </w:r>
    </w:p>
    <w:p w14:paraId="33695D11" w14:textId="77777777" w:rsidR="00D20766" w:rsidRDefault="00D20766" w:rsidP="00D20766">
      <w:pPr>
        <w:pStyle w:val="BodyText"/>
        <w:numPr>
          <w:ilvl w:val="1"/>
          <w:numId w:val="28"/>
        </w:numPr>
        <w:spacing w:after="120" w:line="240" w:lineRule="auto"/>
        <w:jc w:val="both"/>
      </w:pPr>
      <w:r>
        <w:t>If total power for LTE and NR in FR1 exceeds X_total, UE reduces NR transmission power or drops NR transmission so that total power does not exceed X_total</w:t>
      </w:r>
    </w:p>
    <w:p w14:paraId="6C242E7D" w14:textId="77777777" w:rsidR="00D20766" w:rsidRDefault="00D20766" w:rsidP="00D20766">
      <w:pPr>
        <w:pStyle w:val="BodyText"/>
        <w:numPr>
          <w:ilvl w:val="2"/>
          <w:numId w:val="28"/>
        </w:numPr>
        <w:spacing w:after="120" w:line="240" w:lineRule="auto"/>
        <w:jc w:val="both"/>
      </w:pPr>
      <w:r>
        <w:t>Note: As per previous agreement LTE power control procedure is not changed</w:t>
      </w:r>
    </w:p>
    <w:p w14:paraId="503537C4" w14:textId="77777777" w:rsidR="00D20766" w:rsidRPr="006D12B1" w:rsidRDefault="00D20766">
      <w:pPr>
        <w:pStyle w:val="Reference"/>
        <w:numPr>
          <w:ilvl w:val="0"/>
          <w:numId w:val="0"/>
        </w:numPr>
        <w:rPr>
          <w:rFonts w:ascii="Times New Roman"/>
        </w:rPr>
      </w:pPr>
    </w:p>
    <w:sectPr w:rsidR="00D20766" w:rsidRPr="006D12B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45750" w14:textId="77777777" w:rsidR="0038658F" w:rsidRDefault="0038658F">
      <w:r>
        <w:separator/>
      </w:r>
    </w:p>
  </w:endnote>
  <w:endnote w:type="continuationSeparator" w:id="0">
    <w:p w14:paraId="16922DFA" w14:textId="77777777" w:rsidR="0038658F" w:rsidRDefault="0038658F">
      <w:r>
        <w:continuationSeparator/>
      </w:r>
    </w:p>
  </w:endnote>
  <w:endnote w:type="continuationNotice" w:id="1">
    <w:p w14:paraId="2960002F" w14:textId="77777777" w:rsidR="0038658F" w:rsidRDefault="003865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swiss"/>
    <w:pitch w:val="variable"/>
    <w:sig w:usb0="A00002EF" w:usb1="4000A44B"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F5750" w14:textId="77777777" w:rsidR="0038658F" w:rsidRDefault="0038658F">
      <w:r>
        <w:separator/>
      </w:r>
    </w:p>
  </w:footnote>
  <w:footnote w:type="continuationSeparator" w:id="0">
    <w:p w14:paraId="53F8B389" w14:textId="77777777" w:rsidR="0038658F" w:rsidRDefault="0038658F">
      <w:r>
        <w:continuationSeparator/>
      </w:r>
    </w:p>
  </w:footnote>
  <w:footnote w:type="continuationNotice" w:id="1">
    <w:p w14:paraId="04C7DB4F" w14:textId="77777777" w:rsidR="0038658F" w:rsidRDefault="003865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C0297C"/>
    <w:multiLevelType w:val="hybridMultilevel"/>
    <w:tmpl w:val="25904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2F6397"/>
    <w:multiLevelType w:val="hybridMultilevel"/>
    <w:tmpl w:val="E972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 w15:restartNumberingAfterBreak="0">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01C450B"/>
    <w:multiLevelType w:val="hybridMultilevel"/>
    <w:tmpl w:val="15D2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F70B99"/>
    <w:multiLevelType w:val="multilevel"/>
    <w:tmpl w:val="05BE936A"/>
    <w:numStyleLink w:val="baseHeadings"/>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AD46B9"/>
    <w:multiLevelType w:val="hybridMultilevel"/>
    <w:tmpl w:val="E9727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825CE5"/>
    <w:multiLevelType w:val="hybridMultilevel"/>
    <w:tmpl w:val="21CCD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656CD1"/>
    <w:multiLevelType w:val="hybridMultilevel"/>
    <w:tmpl w:val="DF60EE68"/>
    <w:lvl w:ilvl="0" w:tplc="CB528F0A">
      <w:start w:val="1"/>
      <w:numFmt w:val="bullet"/>
      <w:lvlText w:val="•"/>
      <w:lvlJc w:val="left"/>
      <w:pPr>
        <w:tabs>
          <w:tab w:val="num" w:pos="360"/>
        </w:tabs>
        <w:ind w:left="360" w:hanging="360"/>
      </w:pPr>
      <w:rPr>
        <w:rFonts w:ascii="Arial" w:hAnsi="Arial" w:hint="default"/>
      </w:rPr>
    </w:lvl>
    <w:lvl w:ilvl="1" w:tplc="FD287BD2">
      <w:numFmt w:val="bullet"/>
      <w:lvlText w:val="−"/>
      <w:lvlJc w:val="left"/>
      <w:pPr>
        <w:tabs>
          <w:tab w:val="num" w:pos="1080"/>
        </w:tabs>
        <w:ind w:left="1080" w:hanging="360"/>
      </w:pPr>
      <w:rPr>
        <w:rFonts w:ascii="Arial" w:hAnsi="Arial" w:hint="default"/>
      </w:rPr>
    </w:lvl>
    <w:lvl w:ilvl="2" w:tplc="84CAD922">
      <w:numFmt w:val="bullet"/>
      <w:lvlText w:val="−"/>
      <w:lvlJc w:val="left"/>
      <w:pPr>
        <w:tabs>
          <w:tab w:val="num" w:pos="1800"/>
        </w:tabs>
        <w:ind w:left="1800" w:hanging="360"/>
      </w:pPr>
      <w:rPr>
        <w:rFonts w:ascii="Arial" w:hAnsi="Arial" w:hint="default"/>
      </w:rPr>
    </w:lvl>
    <w:lvl w:ilvl="3" w:tplc="ACE8D71E" w:tentative="1">
      <w:start w:val="1"/>
      <w:numFmt w:val="bullet"/>
      <w:lvlText w:val="•"/>
      <w:lvlJc w:val="left"/>
      <w:pPr>
        <w:tabs>
          <w:tab w:val="num" w:pos="2520"/>
        </w:tabs>
        <w:ind w:left="2520" w:hanging="360"/>
      </w:pPr>
      <w:rPr>
        <w:rFonts w:ascii="Arial" w:hAnsi="Arial" w:hint="default"/>
      </w:rPr>
    </w:lvl>
    <w:lvl w:ilvl="4" w:tplc="58320E14" w:tentative="1">
      <w:start w:val="1"/>
      <w:numFmt w:val="bullet"/>
      <w:lvlText w:val="•"/>
      <w:lvlJc w:val="left"/>
      <w:pPr>
        <w:tabs>
          <w:tab w:val="num" w:pos="3240"/>
        </w:tabs>
        <w:ind w:left="3240" w:hanging="360"/>
      </w:pPr>
      <w:rPr>
        <w:rFonts w:ascii="Arial" w:hAnsi="Arial" w:hint="default"/>
      </w:rPr>
    </w:lvl>
    <w:lvl w:ilvl="5" w:tplc="85CC7FC8" w:tentative="1">
      <w:start w:val="1"/>
      <w:numFmt w:val="bullet"/>
      <w:lvlText w:val="•"/>
      <w:lvlJc w:val="left"/>
      <w:pPr>
        <w:tabs>
          <w:tab w:val="num" w:pos="3960"/>
        </w:tabs>
        <w:ind w:left="3960" w:hanging="360"/>
      </w:pPr>
      <w:rPr>
        <w:rFonts w:ascii="Arial" w:hAnsi="Arial" w:hint="default"/>
      </w:rPr>
    </w:lvl>
    <w:lvl w:ilvl="6" w:tplc="8856D152" w:tentative="1">
      <w:start w:val="1"/>
      <w:numFmt w:val="bullet"/>
      <w:lvlText w:val="•"/>
      <w:lvlJc w:val="left"/>
      <w:pPr>
        <w:tabs>
          <w:tab w:val="num" w:pos="4680"/>
        </w:tabs>
        <w:ind w:left="4680" w:hanging="360"/>
      </w:pPr>
      <w:rPr>
        <w:rFonts w:ascii="Arial" w:hAnsi="Arial" w:hint="default"/>
      </w:rPr>
    </w:lvl>
    <w:lvl w:ilvl="7" w:tplc="B0D0A3CE" w:tentative="1">
      <w:start w:val="1"/>
      <w:numFmt w:val="bullet"/>
      <w:lvlText w:val="•"/>
      <w:lvlJc w:val="left"/>
      <w:pPr>
        <w:tabs>
          <w:tab w:val="num" w:pos="5400"/>
        </w:tabs>
        <w:ind w:left="5400" w:hanging="360"/>
      </w:pPr>
      <w:rPr>
        <w:rFonts w:ascii="Arial" w:hAnsi="Arial" w:hint="default"/>
      </w:rPr>
    </w:lvl>
    <w:lvl w:ilvl="8" w:tplc="C5A867F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ED18BC"/>
    <w:multiLevelType w:val="multilevel"/>
    <w:tmpl w:val="4D80806E"/>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ascii="Arial" w:hAnsi="Arial" w:cs="Arial" w:hint="default"/>
        <w:sz w:val="20"/>
        <w:szCs w:val="20"/>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7"/>
  </w:num>
  <w:num w:numId="3">
    <w:abstractNumId w:val="8"/>
  </w:num>
  <w:num w:numId="4">
    <w:abstractNumId w:val="5"/>
  </w:num>
  <w:num w:numId="5">
    <w:abstractNumId w:val="11"/>
  </w:num>
  <w:num w:numId="6">
    <w:abstractNumId w:val="19"/>
  </w:num>
  <w:num w:numId="7">
    <w:abstractNumId w:val="6"/>
  </w:num>
  <w:num w:numId="8">
    <w:abstractNumId w:val="18"/>
  </w:num>
  <w:num w:numId="9">
    <w:abstractNumId w:val="17"/>
  </w:num>
  <w:num w:numId="10">
    <w:abstractNumId w:val="20"/>
  </w:num>
  <w:num w:numId="11">
    <w:abstractNumId w:val="14"/>
  </w:num>
  <w:num w:numId="12">
    <w:abstractNumId w:val="27"/>
  </w:num>
  <w:num w:numId="13">
    <w:abstractNumId w:val="15"/>
  </w:num>
  <w:num w:numId="14">
    <w:abstractNumId w:val="12"/>
  </w:num>
  <w:num w:numId="15">
    <w:abstractNumId w:val="25"/>
  </w:num>
  <w:num w:numId="16">
    <w:abstractNumId w:val="10"/>
  </w:num>
  <w:num w:numId="17">
    <w:abstractNumId w:val="21"/>
  </w:num>
  <w:num w:numId="18">
    <w:abstractNumId w:val="13"/>
  </w:num>
  <w:num w:numId="19">
    <w:abstractNumId w:val="3"/>
  </w:num>
  <w:num w:numId="20">
    <w:abstractNumId w:val="1"/>
  </w:num>
  <w:num w:numId="21">
    <w:abstractNumId w:val="9"/>
  </w:num>
  <w:num w:numId="22">
    <w:abstractNumId w:val="2"/>
  </w:num>
  <w:num w:numId="23">
    <w:abstractNumId w:val="26"/>
  </w:num>
  <w:num w:numId="24">
    <w:abstractNumId w:val="22"/>
  </w:num>
  <w:num w:numId="25">
    <w:abstractNumId w:val="0"/>
  </w:num>
  <w:num w:numId="26">
    <w:abstractNumId w:val="24"/>
  </w:num>
  <w:num w:numId="27">
    <w:abstractNumId w:val="23"/>
  </w:num>
  <w:num w:numId="28">
    <w:abstractNumId w:val="4"/>
  </w:num>
  <w:num w:numId="29">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AU"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3A04"/>
    <w:rsid w:val="00023F2E"/>
    <w:rsid w:val="0002564D"/>
    <w:rsid w:val="00025ECA"/>
    <w:rsid w:val="000266D4"/>
    <w:rsid w:val="00030762"/>
    <w:rsid w:val="0003178D"/>
    <w:rsid w:val="000325B8"/>
    <w:rsid w:val="00032982"/>
    <w:rsid w:val="00032CAF"/>
    <w:rsid w:val="000340C8"/>
    <w:rsid w:val="00034C15"/>
    <w:rsid w:val="00036BA1"/>
    <w:rsid w:val="000370CC"/>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39ED"/>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0DB"/>
    <w:rsid w:val="0009510F"/>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1E9"/>
    <w:rsid w:val="000B66A8"/>
    <w:rsid w:val="000B7B33"/>
    <w:rsid w:val="000C0635"/>
    <w:rsid w:val="000C0FBF"/>
    <w:rsid w:val="000C165A"/>
    <w:rsid w:val="000C171C"/>
    <w:rsid w:val="000C2E19"/>
    <w:rsid w:val="000C783F"/>
    <w:rsid w:val="000D0D07"/>
    <w:rsid w:val="000D1F37"/>
    <w:rsid w:val="000D4797"/>
    <w:rsid w:val="000D5ACE"/>
    <w:rsid w:val="000D654F"/>
    <w:rsid w:val="000D7DD2"/>
    <w:rsid w:val="000E0527"/>
    <w:rsid w:val="000E113A"/>
    <w:rsid w:val="000E17AD"/>
    <w:rsid w:val="000E1A1F"/>
    <w:rsid w:val="000E1E92"/>
    <w:rsid w:val="000E31CC"/>
    <w:rsid w:val="000F06D6"/>
    <w:rsid w:val="000F0839"/>
    <w:rsid w:val="000F0EB1"/>
    <w:rsid w:val="000F1106"/>
    <w:rsid w:val="000F3550"/>
    <w:rsid w:val="000F3BE9"/>
    <w:rsid w:val="000F3F6C"/>
    <w:rsid w:val="000F4CE5"/>
    <w:rsid w:val="000F65A0"/>
    <w:rsid w:val="000F6DF3"/>
    <w:rsid w:val="000F7070"/>
    <w:rsid w:val="00100068"/>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17FFE"/>
    <w:rsid w:val="001206B3"/>
    <w:rsid w:val="0012161C"/>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A9E"/>
    <w:rsid w:val="00135CD5"/>
    <w:rsid w:val="00136F34"/>
    <w:rsid w:val="00136FEA"/>
    <w:rsid w:val="00137AB5"/>
    <w:rsid w:val="00137F0B"/>
    <w:rsid w:val="00140964"/>
    <w:rsid w:val="00140D5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613C4"/>
    <w:rsid w:val="00162069"/>
    <w:rsid w:val="00162C03"/>
    <w:rsid w:val="0016360E"/>
    <w:rsid w:val="00163F75"/>
    <w:rsid w:val="00164D4A"/>
    <w:rsid w:val="001657AA"/>
    <w:rsid w:val="001659C1"/>
    <w:rsid w:val="0016672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7A28"/>
    <w:rsid w:val="00197DF9"/>
    <w:rsid w:val="001A0C80"/>
    <w:rsid w:val="001A0FF8"/>
    <w:rsid w:val="001A1987"/>
    <w:rsid w:val="001A2564"/>
    <w:rsid w:val="001A319B"/>
    <w:rsid w:val="001A3BF5"/>
    <w:rsid w:val="001A3F58"/>
    <w:rsid w:val="001A6173"/>
    <w:rsid w:val="001A6CBA"/>
    <w:rsid w:val="001A6FDD"/>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453"/>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46B4"/>
    <w:rsid w:val="0020506A"/>
    <w:rsid w:val="00205E74"/>
    <w:rsid w:val="0020646B"/>
    <w:rsid w:val="002069B2"/>
    <w:rsid w:val="00206B13"/>
    <w:rsid w:val="00207D2E"/>
    <w:rsid w:val="00207FA3"/>
    <w:rsid w:val="00210D30"/>
    <w:rsid w:val="002123EE"/>
    <w:rsid w:val="002149E7"/>
    <w:rsid w:val="00214DA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C14"/>
    <w:rsid w:val="00232D4C"/>
    <w:rsid w:val="0023309C"/>
    <w:rsid w:val="002342CA"/>
    <w:rsid w:val="00235632"/>
    <w:rsid w:val="00235872"/>
    <w:rsid w:val="00240B51"/>
    <w:rsid w:val="00241559"/>
    <w:rsid w:val="002432E4"/>
    <w:rsid w:val="002435B3"/>
    <w:rsid w:val="002440F8"/>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A4F"/>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876"/>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39CD"/>
    <w:rsid w:val="003042A8"/>
    <w:rsid w:val="0030501F"/>
    <w:rsid w:val="0030638C"/>
    <w:rsid w:val="00307BA1"/>
    <w:rsid w:val="00310178"/>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5269"/>
    <w:rsid w:val="003268E0"/>
    <w:rsid w:val="00331751"/>
    <w:rsid w:val="00333A8B"/>
    <w:rsid w:val="00334579"/>
    <w:rsid w:val="00334971"/>
    <w:rsid w:val="00335858"/>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70E47"/>
    <w:rsid w:val="00371ED7"/>
    <w:rsid w:val="00371FCF"/>
    <w:rsid w:val="00372D51"/>
    <w:rsid w:val="003742AC"/>
    <w:rsid w:val="00374487"/>
    <w:rsid w:val="0037574C"/>
    <w:rsid w:val="003766F3"/>
    <w:rsid w:val="00377CE1"/>
    <w:rsid w:val="00382455"/>
    <w:rsid w:val="00383EB0"/>
    <w:rsid w:val="00385BF0"/>
    <w:rsid w:val="0038658F"/>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4D2"/>
    <w:rsid w:val="003A7BB9"/>
    <w:rsid w:val="003A7EF3"/>
    <w:rsid w:val="003B0883"/>
    <w:rsid w:val="003B13F1"/>
    <w:rsid w:val="003B159C"/>
    <w:rsid w:val="003B34DC"/>
    <w:rsid w:val="003B369F"/>
    <w:rsid w:val="003B36A3"/>
    <w:rsid w:val="003B4E27"/>
    <w:rsid w:val="003B7FE5"/>
    <w:rsid w:val="003C11C8"/>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486F"/>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3DB5"/>
    <w:rsid w:val="0040512B"/>
    <w:rsid w:val="00405B38"/>
    <w:rsid w:val="00405CA5"/>
    <w:rsid w:val="00406BE5"/>
    <w:rsid w:val="00407CD3"/>
    <w:rsid w:val="00410134"/>
    <w:rsid w:val="00410B72"/>
    <w:rsid w:val="00410F18"/>
    <w:rsid w:val="0041263E"/>
    <w:rsid w:val="004126AE"/>
    <w:rsid w:val="00413AAC"/>
    <w:rsid w:val="00415B29"/>
    <w:rsid w:val="00420568"/>
    <w:rsid w:val="00421105"/>
    <w:rsid w:val="00421CDA"/>
    <w:rsid w:val="00423D76"/>
    <w:rsid w:val="004242F4"/>
    <w:rsid w:val="004266EE"/>
    <w:rsid w:val="00427248"/>
    <w:rsid w:val="00427D26"/>
    <w:rsid w:val="004314DE"/>
    <w:rsid w:val="00432938"/>
    <w:rsid w:val="0043595A"/>
    <w:rsid w:val="004370A3"/>
    <w:rsid w:val="0043738B"/>
    <w:rsid w:val="00437447"/>
    <w:rsid w:val="00441A92"/>
    <w:rsid w:val="00441AE4"/>
    <w:rsid w:val="00444F56"/>
    <w:rsid w:val="00445695"/>
    <w:rsid w:val="00446488"/>
    <w:rsid w:val="00447DDB"/>
    <w:rsid w:val="004516A6"/>
    <w:rsid w:val="004517AA"/>
    <w:rsid w:val="00452B53"/>
    <w:rsid w:val="00452CAC"/>
    <w:rsid w:val="004559A9"/>
    <w:rsid w:val="00456C62"/>
    <w:rsid w:val="004572CE"/>
    <w:rsid w:val="00457565"/>
    <w:rsid w:val="00457B71"/>
    <w:rsid w:val="00460DEB"/>
    <w:rsid w:val="00461377"/>
    <w:rsid w:val="0046384C"/>
    <w:rsid w:val="004669E2"/>
    <w:rsid w:val="0046748C"/>
    <w:rsid w:val="00470C31"/>
    <w:rsid w:val="0047298C"/>
    <w:rsid w:val="004734D0"/>
    <w:rsid w:val="0047447B"/>
    <w:rsid w:val="00474CE8"/>
    <w:rsid w:val="00474EF3"/>
    <w:rsid w:val="0047556B"/>
    <w:rsid w:val="00477768"/>
    <w:rsid w:val="00477E3A"/>
    <w:rsid w:val="00484FD1"/>
    <w:rsid w:val="0048659F"/>
    <w:rsid w:val="004903E5"/>
    <w:rsid w:val="004919B6"/>
    <w:rsid w:val="00492BC5"/>
    <w:rsid w:val="00492EE9"/>
    <w:rsid w:val="0049619C"/>
    <w:rsid w:val="004964F1"/>
    <w:rsid w:val="00496BE4"/>
    <w:rsid w:val="004A0532"/>
    <w:rsid w:val="004A163A"/>
    <w:rsid w:val="004A16BC"/>
    <w:rsid w:val="004A2B94"/>
    <w:rsid w:val="004B2324"/>
    <w:rsid w:val="004B50CE"/>
    <w:rsid w:val="004B5BF0"/>
    <w:rsid w:val="004B6991"/>
    <w:rsid w:val="004B7C0C"/>
    <w:rsid w:val="004C0C1A"/>
    <w:rsid w:val="004C3898"/>
    <w:rsid w:val="004C4D69"/>
    <w:rsid w:val="004C6818"/>
    <w:rsid w:val="004D0C81"/>
    <w:rsid w:val="004D36B1"/>
    <w:rsid w:val="004D49A7"/>
    <w:rsid w:val="004D49D5"/>
    <w:rsid w:val="004D4D47"/>
    <w:rsid w:val="004D6615"/>
    <w:rsid w:val="004D6840"/>
    <w:rsid w:val="004D7C8F"/>
    <w:rsid w:val="004D7EBD"/>
    <w:rsid w:val="004E0478"/>
    <w:rsid w:val="004E267D"/>
    <w:rsid w:val="004E2680"/>
    <w:rsid w:val="004E28F9"/>
    <w:rsid w:val="004E31F3"/>
    <w:rsid w:val="004E37A7"/>
    <w:rsid w:val="004E3CDF"/>
    <w:rsid w:val="004E462E"/>
    <w:rsid w:val="004E56DC"/>
    <w:rsid w:val="004E5829"/>
    <w:rsid w:val="004E6B56"/>
    <w:rsid w:val="004E7135"/>
    <w:rsid w:val="004E76F4"/>
    <w:rsid w:val="004F0B4E"/>
    <w:rsid w:val="004F0B6C"/>
    <w:rsid w:val="004F2078"/>
    <w:rsid w:val="004F29AE"/>
    <w:rsid w:val="004F3D63"/>
    <w:rsid w:val="004F4DA3"/>
    <w:rsid w:val="004F5DD9"/>
    <w:rsid w:val="00500B4A"/>
    <w:rsid w:val="005011E7"/>
    <w:rsid w:val="00501BB9"/>
    <w:rsid w:val="0050591F"/>
    <w:rsid w:val="00506557"/>
    <w:rsid w:val="00506745"/>
    <w:rsid w:val="0050677A"/>
    <w:rsid w:val="005104C2"/>
    <w:rsid w:val="005108D8"/>
    <w:rsid w:val="005116F9"/>
    <w:rsid w:val="0051458F"/>
    <w:rsid w:val="00515162"/>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E19"/>
    <w:rsid w:val="00555435"/>
    <w:rsid w:val="0055588D"/>
    <w:rsid w:val="00557D7C"/>
    <w:rsid w:val="0056092A"/>
    <w:rsid w:val="0056121F"/>
    <w:rsid w:val="00562566"/>
    <w:rsid w:val="0056318C"/>
    <w:rsid w:val="00566E2B"/>
    <w:rsid w:val="0057036A"/>
    <w:rsid w:val="0057045A"/>
    <w:rsid w:val="00572505"/>
    <w:rsid w:val="00574944"/>
    <w:rsid w:val="0057533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6F91"/>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97E9B"/>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B7E85"/>
    <w:rsid w:val="006C03B8"/>
    <w:rsid w:val="006C20AA"/>
    <w:rsid w:val="006C3409"/>
    <w:rsid w:val="006C5761"/>
    <w:rsid w:val="006C5EC9"/>
    <w:rsid w:val="006C6059"/>
    <w:rsid w:val="006C7522"/>
    <w:rsid w:val="006C7D70"/>
    <w:rsid w:val="006D08AD"/>
    <w:rsid w:val="006D12B1"/>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6101"/>
    <w:rsid w:val="0070655A"/>
    <w:rsid w:val="00707072"/>
    <w:rsid w:val="00707D61"/>
    <w:rsid w:val="00711B0A"/>
    <w:rsid w:val="00712287"/>
    <w:rsid w:val="00712772"/>
    <w:rsid w:val="00713019"/>
    <w:rsid w:val="007148D3"/>
    <w:rsid w:val="0071565A"/>
    <w:rsid w:val="00715B9A"/>
    <w:rsid w:val="007168FD"/>
    <w:rsid w:val="00716C3B"/>
    <w:rsid w:val="00716F2B"/>
    <w:rsid w:val="00720D98"/>
    <w:rsid w:val="00721A24"/>
    <w:rsid w:val="007227B4"/>
    <w:rsid w:val="00722CB0"/>
    <w:rsid w:val="00725850"/>
    <w:rsid w:val="00726EA6"/>
    <w:rsid w:val="00727208"/>
    <w:rsid w:val="00727680"/>
    <w:rsid w:val="00730A5D"/>
    <w:rsid w:val="00732D0F"/>
    <w:rsid w:val="007348B1"/>
    <w:rsid w:val="007362A6"/>
    <w:rsid w:val="007369A2"/>
    <w:rsid w:val="00736D7D"/>
    <w:rsid w:val="00740E58"/>
    <w:rsid w:val="00742371"/>
    <w:rsid w:val="007423BD"/>
    <w:rsid w:val="00742DA4"/>
    <w:rsid w:val="007445A0"/>
    <w:rsid w:val="0074524B"/>
    <w:rsid w:val="0074686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DFA"/>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50AE"/>
    <w:rsid w:val="007B51DF"/>
    <w:rsid w:val="007B5283"/>
    <w:rsid w:val="007B6048"/>
    <w:rsid w:val="007B6D64"/>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38A1"/>
    <w:rsid w:val="007D497F"/>
    <w:rsid w:val="007D5506"/>
    <w:rsid w:val="007D5901"/>
    <w:rsid w:val="007D7526"/>
    <w:rsid w:val="007E1602"/>
    <w:rsid w:val="007E4610"/>
    <w:rsid w:val="007E4715"/>
    <w:rsid w:val="007E505B"/>
    <w:rsid w:val="007E5C63"/>
    <w:rsid w:val="007E5DB4"/>
    <w:rsid w:val="007E6E45"/>
    <w:rsid w:val="007E7091"/>
    <w:rsid w:val="007F09D8"/>
    <w:rsid w:val="007F319E"/>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6CE9"/>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4970"/>
    <w:rsid w:val="00855DC1"/>
    <w:rsid w:val="00856391"/>
    <w:rsid w:val="00856911"/>
    <w:rsid w:val="00860E7F"/>
    <w:rsid w:val="0086172A"/>
    <w:rsid w:val="008632AD"/>
    <w:rsid w:val="008641A8"/>
    <w:rsid w:val="00864766"/>
    <w:rsid w:val="008648B3"/>
    <w:rsid w:val="008649AD"/>
    <w:rsid w:val="00866538"/>
    <w:rsid w:val="008677FD"/>
    <w:rsid w:val="008706D4"/>
    <w:rsid w:val="00870F8A"/>
    <w:rsid w:val="0087144D"/>
    <w:rsid w:val="008719A4"/>
    <w:rsid w:val="00871D23"/>
    <w:rsid w:val="0087324C"/>
    <w:rsid w:val="00873E24"/>
    <w:rsid w:val="00874312"/>
    <w:rsid w:val="0087437C"/>
    <w:rsid w:val="00875CD7"/>
    <w:rsid w:val="00876B4D"/>
    <w:rsid w:val="00877F18"/>
    <w:rsid w:val="008804AE"/>
    <w:rsid w:val="00883405"/>
    <w:rsid w:val="00884FA0"/>
    <w:rsid w:val="008903FE"/>
    <w:rsid w:val="008913F1"/>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77D8"/>
    <w:rsid w:val="008A7A95"/>
    <w:rsid w:val="008B0483"/>
    <w:rsid w:val="008B11C4"/>
    <w:rsid w:val="008B120C"/>
    <w:rsid w:val="008B16CD"/>
    <w:rsid w:val="008B3562"/>
    <w:rsid w:val="008B51A0"/>
    <w:rsid w:val="008B592A"/>
    <w:rsid w:val="008B73A9"/>
    <w:rsid w:val="008B7B5C"/>
    <w:rsid w:val="008C0C99"/>
    <w:rsid w:val="008C15DF"/>
    <w:rsid w:val="008C2017"/>
    <w:rsid w:val="008C48E6"/>
    <w:rsid w:val="008C4958"/>
    <w:rsid w:val="008C4BAA"/>
    <w:rsid w:val="008C5A7F"/>
    <w:rsid w:val="008C6AE8"/>
    <w:rsid w:val="008C6EBF"/>
    <w:rsid w:val="008C7573"/>
    <w:rsid w:val="008D14AD"/>
    <w:rsid w:val="008D1A14"/>
    <w:rsid w:val="008D34F1"/>
    <w:rsid w:val="008D39D8"/>
    <w:rsid w:val="008D6D1A"/>
    <w:rsid w:val="008E065E"/>
    <w:rsid w:val="008E0927"/>
    <w:rsid w:val="008E1909"/>
    <w:rsid w:val="008E4930"/>
    <w:rsid w:val="008E5110"/>
    <w:rsid w:val="008F1EAB"/>
    <w:rsid w:val="008F33DC"/>
    <w:rsid w:val="008F3D0E"/>
    <w:rsid w:val="008F477F"/>
    <w:rsid w:val="008F4E55"/>
    <w:rsid w:val="008F50A0"/>
    <w:rsid w:val="008F6E41"/>
    <w:rsid w:val="00902350"/>
    <w:rsid w:val="0090336B"/>
    <w:rsid w:val="00903554"/>
    <w:rsid w:val="00903B34"/>
    <w:rsid w:val="009048FE"/>
    <w:rsid w:val="009053AA"/>
    <w:rsid w:val="00906939"/>
    <w:rsid w:val="00907D51"/>
    <w:rsid w:val="00910B7D"/>
    <w:rsid w:val="009117A6"/>
    <w:rsid w:val="00911DFB"/>
    <w:rsid w:val="00912691"/>
    <w:rsid w:val="00912C6A"/>
    <w:rsid w:val="009139D9"/>
    <w:rsid w:val="00914AD8"/>
    <w:rsid w:val="00916079"/>
    <w:rsid w:val="00916EA3"/>
    <w:rsid w:val="00917194"/>
    <w:rsid w:val="00917766"/>
    <w:rsid w:val="00917CE9"/>
    <w:rsid w:val="00917E2A"/>
    <w:rsid w:val="00920596"/>
    <w:rsid w:val="00920BF2"/>
    <w:rsid w:val="00922010"/>
    <w:rsid w:val="0092400A"/>
    <w:rsid w:val="00924943"/>
    <w:rsid w:val="00930D49"/>
    <w:rsid w:val="00931BD9"/>
    <w:rsid w:val="00932811"/>
    <w:rsid w:val="00934CF7"/>
    <w:rsid w:val="009368F3"/>
    <w:rsid w:val="0094009B"/>
    <w:rsid w:val="009413F8"/>
    <w:rsid w:val="009414E8"/>
    <w:rsid w:val="00941636"/>
    <w:rsid w:val="00942696"/>
    <w:rsid w:val="00942756"/>
    <w:rsid w:val="00943742"/>
    <w:rsid w:val="00943F21"/>
    <w:rsid w:val="00944AAE"/>
    <w:rsid w:val="009457EE"/>
    <w:rsid w:val="00945C02"/>
    <w:rsid w:val="00945C05"/>
    <w:rsid w:val="00946945"/>
    <w:rsid w:val="00947713"/>
    <w:rsid w:val="00950DE7"/>
    <w:rsid w:val="009525B1"/>
    <w:rsid w:val="00953920"/>
    <w:rsid w:val="00953D47"/>
    <w:rsid w:val="00954FEF"/>
    <w:rsid w:val="00955701"/>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462D"/>
    <w:rsid w:val="009A5835"/>
    <w:rsid w:val="009A5CBA"/>
    <w:rsid w:val="009B1F30"/>
    <w:rsid w:val="009B3AC2"/>
    <w:rsid w:val="009B4D45"/>
    <w:rsid w:val="009B4DF4"/>
    <w:rsid w:val="009B4FF0"/>
    <w:rsid w:val="009B564E"/>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5C71"/>
    <w:rsid w:val="009E6849"/>
    <w:rsid w:val="009F08F3"/>
    <w:rsid w:val="009F18A9"/>
    <w:rsid w:val="009F1A8A"/>
    <w:rsid w:val="009F344F"/>
    <w:rsid w:val="009F5719"/>
    <w:rsid w:val="009F77B9"/>
    <w:rsid w:val="00A02E75"/>
    <w:rsid w:val="00A048A8"/>
    <w:rsid w:val="00A04F49"/>
    <w:rsid w:val="00A05151"/>
    <w:rsid w:val="00A069B7"/>
    <w:rsid w:val="00A06F52"/>
    <w:rsid w:val="00A06F75"/>
    <w:rsid w:val="00A13E54"/>
    <w:rsid w:val="00A15A57"/>
    <w:rsid w:val="00A161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6896"/>
    <w:rsid w:val="00A470CF"/>
    <w:rsid w:val="00A52E1D"/>
    <w:rsid w:val="00A530B8"/>
    <w:rsid w:val="00A54210"/>
    <w:rsid w:val="00A54B08"/>
    <w:rsid w:val="00A54EB8"/>
    <w:rsid w:val="00A551A4"/>
    <w:rsid w:val="00A570F2"/>
    <w:rsid w:val="00A5758B"/>
    <w:rsid w:val="00A60901"/>
    <w:rsid w:val="00A61499"/>
    <w:rsid w:val="00A62A77"/>
    <w:rsid w:val="00A63483"/>
    <w:rsid w:val="00A63CAC"/>
    <w:rsid w:val="00A653DB"/>
    <w:rsid w:val="00A657D7"/>
    <w:rsid w:val="00A65BE6"/>
    <w:rsid w:val="00A660AC"/>
    <w:rsid w:val="00A674B0"/>
    <w:rsid w:val="00A67E6C"/>
    <w:rsid w:val="00A71B99"/>
    <w:rsid w:val="00A72C46"/>
    <w:rsid w:val="00A72FE4"/>
    <w:rsid w:val="00A7315F"/>
    <w:rsid w:val="00A739D0"/>
    <w:rsid w:val="00A73CE5"/>
    <w:rsid w:val="00A761D4"/>
    <w:rsid w:val="00A77441"/>
    <w:rsid w:val="00A7755B"/>
    <w:rsid w:val="00A77EC4"/>
    <w:rsid w:val="00A8033B"/>
    <w:rsid w:val="00A80920"/>
    <w:rsid w:val="00A80A2A"/>
    <w:rsid w:val="00A87BF8"/>
    <w:rsid w:val="00A916A7"/>
    <w:rsid w:val="00A91DC8"/>
    <w:rsid w:val="00A92879"/>
    <w:rsid w:val="00A9367F"/>
    <w:rsid w:val="00A93F55"/>
    <w:rsid w:val="00A93FC2"/>
    <w:rsid w:val="00A9442A"/>
    <w:rsid w:val="00A94AD8"/>
    <w:rsid w:val="00A95CF5"/>
    <w:rsid w:val="00A967B9"/>
    <w:rsid w:val="00A969ED"/>
    <w:rsid w:val="00A97022"/>
    <w:rsid w:val="00AA016F"/>
    <w:rsid w:val="00AA1ED6"/>
    <w:rsid w:val="00AA2344"/>
    <w:rsid w:val="00AA2543"/>
    <w:rsid w:val="00AA3555"/>
    <w:rsid w:val="00AA3BFA"/>
    <w:rsid w:val="00AA3D58"/>
    <w:rsid w:val="00AA4801"/>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E7EC4"/>
    <w:rsid w:val="00AF1566"/>
    <w:rsid w:val="00AF1C5D"/>
    <w:rsid w:val="00AF28A0"/>
    <w:rsid w:val="00AF3710"/>
    <w:rsid w:val="00AF42D7"/>
    <w:rsid w:val="00AF63DB"/>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64C"/>
    <w:rsid w:val="00B27A11"/>
    <w:rsid w:val="00B27AAC"/>
    <w:rsid w:val="00B30929"/>
    <w:rsid w:val="00B31848"/>
    <w:rsid w:val="00B35B1C"/>
    <w:rsid w:val="00B35FF8"/>
    <w:rsid w:val="00B367E9"/>
    <w:rsid w:val="00B36A91"/>
    <w:rsid w:val="00B372AA"/>
    <w:rsid w:val="00B40445"/>
    <w:rsid w:val="00B4086D"/>
    <w:rsid w:val="00B41888"/>
    <w:rsid w:val="00B42099"/>
    <w:rsid w:val="00B4408D"/>
    <w:rsid w:val="00B45A52"/>
    <w:rsid w:val="00B46175"/>
    <w:rsid w:val="00B47E43"/>
    <w:rsid w:val="00B5198C"/>
    <w:rsid w:val="00B52376"/>
    <w:rsid w:val="00B52EA8"/>
    <w:rsid w:val="00B5335A"/>
    <w:rsid w:val="00B5576D"/>
    <w:rsid w:val="00B5723B"/>
    <w:rsid w:val="00B5724B"/>
    <w:rsid w:val="00B60EF1"/>
    <w:rsid w:val="00B6188F"/>
    <w:rsid w:val="00B64090"/>
    <w:rsid w:val="00B641CC"/>
    <w:rsid w:val="00B64E41"/>
    <w:rsid w:val="00B664C7"/>
    <w:rsid w:val="00B66CEC"/>
    <w:rsid w:val="00B70A05"/>
    <w:rsid w:val="00B7113A"/>
    <w:rsid w:val="00B719C2"/>
    <w:rsid w:val="00B739F6"/>
    <w:rsid w:val="00B74E7D"/>
    <w:rsid w:val="00B81A6C"/>
    <w:rsid w:val="00B81BE4"/>
    <w:rsid w:val="00B842A0"/>
    <w:rsid w:val="00B85DE5"/>
    <w:rsid w:val="00B86995"/>
    <w:rsid w:val="00B90F73"/>
    <w:rsid w:val="00B9371D"/>
    <w:rsid w:val="00B937E1"/>
    <w:rsid w:val="00B93B59"/>
    <w:rsid w:val="00B9406A"/>
    <w:rsid w:val="00B9570E"/>
    <w:rsid w:val="00B95B33"/>
    <w:rsid w:val="00BA064A"/>
    <w:rsid w:val="00BA12FA"/>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429"/>
    <w:rsid w:val="00BB6E0C"/>
    <w:rsid w:val="00BC0FDC"/>
    <w:rsid w:val="00BC25A5"/>
    <w:rsid w:val="00BC2B48"/>
    <w:rsid w:val="00BC2B89"/>
    <w:rsid w:val="00BC3053"/>
    <w:rsid w:val="00BC3171"/>
    <w:rsid w:val="00BC4BEA"/>
    <w:rsid w:val="00BC4D2E"/>
    <w:rsid w:val="00BC565D"/>
    <w:rsid w:val="00BC580F"/>
    <w:rsid w:val="00BC5E44"/>
    <w:rsid w:val="00BD00B5"/>
    <w:rsid w:val="00BD13F2"/>
    <w:rsid w:val="00BD16F8"/>
    <w:rsid w:val="00BD227E"/>
    <w:rsid w:val="00BD346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22B"/>
    <w:rsid w:val="00C27624"/>
    <w:rsid w:val="00C279B5"/>
    <w:rsid w:val="00C27C45"/>
    <w:rsid w:val="00C309B3"/>
    <w:rsid w:val="00C362D8"/>
    <w:rsid w:val="00C3719D"/>
    <w:rsid w:val="00C43E70"/>
    <w:rsid w:val="00C4558A"/>
    <w:rsid w:val="00C47AED"/>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16B9"/>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3A5"/>
    <w:rsid w:val="00C91B55"/>
    <w:rsid w:val="00C93C4B"/>
    <w:rsid w:val="00C944AB"/>
    <w:rsid w:val="00C95B40"/>
    <w:rsid w:val="00C9740B"/>
    <w:rsid w:val="00CA04F2"/>
    <w:rsid w:val="00CA1B65"/>
    <w:rsid w:val="00CA1ED8"/>
    <w:rsid w:val="00CA2D38"/>
    <w:rsid w:val="00CA424B"/>
    <w:rsid w:val="00CA44E4"/>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0766"/>
    <w:rsid w:val="00D2323C"/>
    <w:rsid w:val="00D239A7"/>
    <w:rsid w:val="00D23F47"/>
    <w:rsid w:val="00D2450E"/>
    <w:rsid w:val="00D3107A"/>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3913"/>
    <w:rsid w:val="00D64104"/>
    <w:rsid w:val="00D644C1"/>
    <w:rsid w:val="00D64519"/>
    <w:rsid w:val="00D6497E"/>
    <w:rsid w:val="00D652B5"/>
    <w:rsid w:val="00D65590"/>
    <w:rsid w:val="00D65797"/>
    <w:rsid w:val="00D66155"/>
    <w:rsid w:val="00D708B0"/>
    <w:rsid w:val="00D71D2F"/>
    <w:rsid w:val="00D7207E"/>
    <w:rsid w:val="00D76A8B"/>
    <w:rsid w:val="00D77211"/>
    <w:rsid w:val="00D77B1D"/>
    <w:rsid w:val="00D77B88"/>
    <w:rsid w:val="00D8021F"/>
    <w:rsid w:val="00D80383"/>
    <w:rsid w:val="00D823C6"/>
    <w:rsid w:val="00D855A7"/>
    <w:rsid w:val="00D86CA3"/>
    <w:rsid w:val="00D871CE"/>
    <w:rsid w:val="00D916CD"/>
    <w:rsid w:val="00D9196D"/>
    <w:rsid w:val="00D92982"/>
    <w:rsid w:val="00D95003"/>
    <w:rsid w:val="00D96C11"/>
    <w:rsid w:val="00D973C1"/>
    <w:rsid w:val="00D97EEA"/>
    <w:rsid w:val="00DA0996"/>
    <w:rsid w:val="00DA2672"/>
    <w:rsid w:val="00DA29B0"/>
    <w:rsid w:val="00DA305E"/>
    <w:rsid w:val="00DA5417"/>
    <w:rsid w:val="00DA55EB"/>
    <w:rsid w:val="00DA56E8"/>
    <w:rsid w:val="00DA7816"/>
    <w:rsid w:val="00DB0A9F"/>
    <w:rsid w:val="00DB1F9C"/>
    <w:rsid w:val="00DB2E53"/>
    <w:rsid w:val="00DB377D"/>
    <w:rsid w:val="00DB39D9"/>
    <w:rsid w:val="00DB562C"/>
    <w:rsid w:val="00DB6E61"/>
    <w:rsid w:val="00DB7191"/>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4917"/>
    <w:rsid w:val="00DF5998"/>
    <w:rsid w:val="00DF61FA"/>
    <w:rsid w:val="00DF6A67"/>
    <w:rsid w:val="00DF7BA6"/>
    <w:rsid w:val="00E03ED9"/>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4AEA"/>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037"/>
    <w:rsid w:val="00EC4207"/>
    <w:rsid w:val="00EC4E30"/>
    <w:rsid w:val="00EC5653"/>
    <w:rsid w:val="00EC57C2"/>
    <w:rsid w:val="00EC5A81"/>
    <w:rsid w:val="00EC6117"/>
    <w:rsid w:val="00EC7041"/>
    <w:rsid w:val="00EC71CE"/>
    <w:rsid w:val="00EC78F2"/>
    <w:rsid w:val="00ED1006"/>
    <w:rsid w:val="00ED23E2"/>
    <w:rsid w:val="00ED3BA3"/>
    <w:rsid w:val="00ED3EB3"/>
    <w:rsid w:val="00ED4531"/>
    <w:rsid w:val="00ED7F70"/>
    <w:rsid w:val="00EE22C6"/>
    <w:rsid w:val="00EE3A7B"/>
    <w:rsid w:val="00EE43C7"/>
    <w:rsid w:val="00EE4928"/>
    <w:rsid w:val="00EE5060"/>
    <w:rsid w:val="00EE66C7"/>
    <w:rsid w:val="00EE7C8B"/>
    <w:rsid w:val="00EE7DBF"/>
    <w:rsid w:val="00EF0684"/>
    <w:rsid w:val="00EF18FE"/>
    <w:rsid w:val="00EF191A"/>
    <w:rsid w:val="00EF1EA9"/>
    <w:rsid w:val="00EF28C1"/>
    <w:rsid w:val="00EF4F8D"/>
    <w:rsid w:val="00EF5787"/>
    <w:rsid w:val="00EF5838"/>
    <w:rsid w:val="00EF59D2"/>
    <w:rsid w:val="00EF60D0"/>
    <w:rsid w:val="00EF7623"/>
    <w:rsid w:val="00F02322"/>
    <w:rsid w:val="00F02DB2"/>
    <w:rsid w:val="00F02EAC"/>
    <w:rsid w:val="00F0320F"/>
    <w:rsid w:val="00F03BED"/>
    <w:rsid w:val="00F03D6C"/>
    <w:rsid w:val="00F0528D"/>
    <w:rsid w:val="00F060C8"/>
    <w:rsid w:val="00F06C67"/>
    <w:rsid w:val="00F06DFD"/>
    <w:rsid w:val="00F071D1"/>
    <w:rsid w:val="00F07533"/>
    <w:rsid w:val="00F078E5"/>
    <w:rsid w:val="00F10629"/>
    <w:rsid w:val="00F115D0"/>
    <w:rsid w:val="00F1318F"/>
    <w:rsid w:val="00F141ED"/>
    <w:rsid w:val="00F15FA5"/>
    <w:rsid w:val="00F201CC"/>
    <w:rsid w:val="00F209B7"/>
    <w:rsid w:val="00F233DA"/>
    <w:rsid w:val="00F2376F"/>
    <w:rsid w:val="00F243D8"/>
    <w:rsid w:val="00F26531"/>
    <w:rsid w:val="00F26D1C"/>
    <w:rsid w:val="00F305FF"/>
    <w:rsid w:val="00F30828"/>
    <w:rsid w:val="00F313D6"/>
    <w:rsid w:val="00F32B3E"/>
    <w:rsid w:val="00F35794"/>
    <w:rsid w:val="00F37D5F"/>
    <w:rsid w:val="00F40F0C"/>
    <w:rsid w:val="00F4169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A00"/>
    <w:rsid w:val="00FA2BB3"/>
    <w:rsid w:val="00FA46B8"/>
    <w:rsid w:val="00FA5448"/>
    <w:rsid w:val="00FA6F0B"/>
    <w:rsid w:val="00FA7657"/>
    <w:rsid w:val="00FB00EE"/>
    <w:rsid w:val="00FB0938"/>
    <w:rsid w:val="00FB2E98"/>
    <w:rsid w:val="00FB40B5"/>
    <w:rsid w:val="00FB4C80"/>
    <w:rsid w:val="00FB5C67"/>
    <w:rsid w:val="00FB6A6A"/>
    <w:rsid w:val="00FC37BF"/>
    <w:rsid w:val="00FC7429"/>
    <w:rsid w:val="00FD0620"/>
    <w:rsid w:val="00FD07F6"/>
    <w:rsid w:val="00FD1EC8"/>
    <w:rsid w:val="00FD2256"/>
    <w:rsid w:val="00FD47ED"/>
    <w:rsid w:val="00FD48B8"/>
    <w:rsid w:val="00FD5DD1"/>
    <w:rsid w:val="00FD74DB"/>
    <w:rsid w:val="00FD7660"/>
    <w:rsid w:val="00FE0393"/>
    <w:rsid w:val="00FE0655"/>
    <w:rsid w:val="00FE18C3"/>
    <w:rsid w:val="00FE2365"/>
    <w:rsid w:val="00FE4C7B"/>
    <w:rsid w:val="00FE6989"/>
    <w:rsid w:val="00FE7336"/>
    <w:rsid w:val="00FE787C"/>
    <w:rsid w:val="00FF1171"/>
    <w:rsid w:val="00FF12BE"/>
    <w:rsid w:val="00FF17B8"/>
    <w:rsid w:val="00FF2FA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4AEA"/>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BC565D"/>
    <w:pPr>
      <w:keepNext/>
      <w:keepLines/>
      <w:numPr>
        <w:numId w:val="10"/>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2,h2,DO NOT USE_h2,h21,Head2A,2,UNDERRUBRIK 1-2,H2 Char,h2 Char"/>
    <w:basedOn w:val="Heading1"/>
    <w:next w:val="Normal"/>
    <w:link w:val="Heading2Char"/>
    <w:unhideWhenUsed/>
    <w:qFormat/>
    <w:rsid w:val="00BC565D"/>
    <w:pPr>
      <w:numPr>
        <w:numId w:val="0"/>
      </w:numPr>
      <w:spacing w:before="240"/>
      <w:ind w:left="504" w:hanging="504"/>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nhideWhenUsed/>
    <w:qFormat/>
    <w:rsid w:val="00BC565D"/>
    <w:pPr>
      <w:ind w:left="648" w:hanging="648"/>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nhideWhenUsed/>
    <w:qFormat/>
    <w:rsid w:val="00BC565D"/>
    <w:pPr>
      <w:ind w:left="792" w:hanging="792"/>
      <w:outlineLvl w:val="3"/>
    </w:pPr>
    <w:rPr>
      <w:b w:val="0"/>
      <w:bCs w:val="0"/>
      <w:iCs/>
    </w:rPr>
  </w:style>
  <w:style w:type="paragraph" w:styleId="Heading5">
    <w:name w:val="heading 5"/>
    <w:aliases w:val="h5,Heading5"/>
    <w:basedOn w:val="Heading4"/>
    <w:next w:val="Normal"/>
    <w:link w:val="Heading5Char"/>
    <w:uiPriority w:val="9"/>
    <w:unhideWhenUsed/>
    <w:qFormat/>
    <w:rsid w:val="00BC565D"/>
    <w:pPr>
      <w:ind w:left="936" w:hanging="936"/>
      <w:outlineLvl w:val="4"/>
    </w:pPr>
    <w:rPr>
      <w:i/>
      <w:color w:val="1F4D78" w:themeColor="accent1" w:themeShade="7F"/>
    </w:rPr>
  </w:style>
  <w:style w:type="paragraph" w:styleId="Heading6">
    <w:name w:val="heading 6"/>
    <w:basedOn w:val="Normal"/>
    <w:next w:val="Normal"/>
    <w:link w:val="Heading6Char"/>
    <w:uiPriority w:val="9"/>
    <w:unhideWhenUsed/>
    <w:qFormat/>
    <w:rsid w:val="00BC565D"/>
    <w:pPr>
      <w:keepNext/>
      <w:keepLines/>
      <w:numPr>
        <w:ilvl w:val="5"/>
        <w:numId w:val="10"/>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C565D"/>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C565D"/>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C565D"/>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E24A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4AEA"/>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1"/>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qFormat/>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BC565D"/>
    <w:rPr>
      <w:rFonts w:ascii="Corbel" w:eastAsiaTheme="majorEastAsia" w:hAnsi="Corbel" w:cstheme="majorBidi"/>
      <w:b/>
      <w:bCs/>
      <w:color w:val="2E74B5" w:themeColor="accent1" w:themeShade="BF"/>
      <w:sz w:val="28"/>
      <w:szCs w:val="28"/>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qForma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BC565D"/>
    <w:pPr>
      <w:ind w:left="720"/>
      <w:contextualSpacing/>
    </w:p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
    <w:basedOn w:val="DefaultParagraphFont"/>
    <w:link w:val="ListParagraph"/>
    <w:uiPriority w:val="34"/>
    <w:qFormat/>
    <w:locked/>
    <w:rsid w:val="00BB5906"/>
    <w:rPr>
      <w:rFonts w:ascii="Corbel" w:eastAsiaTheme="minorHAnsi" w:hAnsi="Corbel" w:cstheme="minorBidi"/>
      <w:sz w:val="22"/>
      <w:szCs w:val="22"/>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Heading2Char">
    <w:name w:val="Heading 2 Char"/>
    <w:aliases w:val="H2 Char2,h2 Char2,DO NOT USE_h2 Char1,h21 Char1,Head2A Char1,2 Char1,UNDERRUBRIK 1-2 Char1,H2 Char Char1,h2 Char Char1"/>
    <w:basedOn w:val="DefaultParagraphFont"/>
    <w:link w:val="Heading2"/>
    <w:uiPriority w:val="9"/>
    <w:rsid w:val="00BC565D"/>
    <w:rPr>
      <w:rFonts w:ascii="Corbel" w:eastAsiaTheme="majorEastAsia" w:hAnsi="Corbel" w:cstheme="majorBidi"/>
      <w:color w:val="5B9BD5" w:themeColor="accent1"/>
      <w:sz w:val="26"/>
      <w:szCs w:val="26"/>
    </w:rPr>
  </w:style>
  <w:style w:type="numbering" w:customStyle="1" w:styleId="baseHeadings">
    <w:name w:val="baseHeadings"/>
    <w:uiPriority w:val="99"/>
    <w:rsid w:val="00BC565D"/>
    <w:pPr>
      <w:numPr>
        <w:numId w:val="9"/>
      </w:numPr>
    </w:pPr>
  </w:style>
  <w:style w:type="paragraph" w:styleId="NoSpacing">
    <w:name w:val="No Spacing"/>
    <w:uiPriority w:val="1"/>
    <w:qFormat/>
    <w:rsid w:val="00BC565D"/>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BC565D"/>
    <w:rPr>
      <w:rFonts w:ascii="Corbel" w:eastAsiaTheme="majorEastAsia" w:hAnsi="Corbel" w:cstheme="majorBidi"/>
      <w:b/>
      <w:bCs/>
      <w:color w:val="5B9BD5"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565D"/>
    <w:rPr>
      <w:rFonts w:ascii="Corbel" w:eastAsiaTheme="majorEastAsia" w:hAnsi="Corbel" w:cstheme="majorBidi"/>
      <w:iCs/>
      <w:color w:val="5B9BD5" w:themeColor="accent1"/>
      <w:sz w:val="26"/>
      <w:szCs w:val="26"/>
    </w:rPr>
  </w:style>
  <w:style w:type="character" w:customStyle="1" w:styleId="Heading5Char">
    <w:name w:val="Heading 5 Char"/>
    <w:aliases w:val="h5 Char,Heading5 Char"/>
    <w:basedOn w:val="DefaultParagraphFont"/>
    <w:link w:val="Heading5"/>
    <w:uiPriority w:val="9"/>
    <w:rsid w:val="00BC565D"/>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uiPriority w:val="9"/>
    <w:rsid w:val="00BC565D"/>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uiPriority w:val="9"/>
    <w:rsid w:val="00BC565D"/>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rsid w:val="00BC565D"/>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BC565D"/>
    <w:rPr>
      <w:rFonts w:asciiTheme="majorHAnsi" w:eastAsiaTheme="majorEastAsia" w:hAnsiTheme="majorHAnsi" w:cstheme="majorBidi"/>
      <w:i/>
      <w:iCs/>
      <w:color w:val="404040" w:themeColor="text1" w:themeTint="BF"/>
    </w:rPr>
  </w:style>
  <w:style w:type="numbering" w:customStyle="1" w:styleId="NoList1">
    <w:name w:val="No List1"/>
    <w:next w:val="NoList"/>
    <w:uiPriority w:val="99"/>
    <w:semiHidden/>
    <w:unhideWhenUsed/>
    <w:rsid w:val="00B31848"/>
  </w:style>
  <w:style w:type="paragraph" w:customStyle="1" w:styleId="H6">
    <w:name w:val="H6"/>
    <w:basedOn w:val="Heading5"/>
    <w:next w:val="Normal"/>
    <w:rsid w:val="00B31848"/>
    <w:pPr>
      <w:spacing w:before="120" w:after="180"/>
      <w:ind w:left="1985" w:hanging="1985"/>
      <w:outlineLvl w:val="9"/>
    </w:pPr>
    <w:rPr>
      <w:rFonts w:ascii="Arial" w:eastAsia="Times New Roman" w:hAnsi="Arial" w:cs="Times New Roman"/>
      <w:i w:val="0"/>
      <w:iCs w:val="0"/>
      <w:color w:val="auto"/>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31848"/>
    <w:rPr>
      <w:rFonts w:ascii="Arial" w:hAnsi="Arial" w:cs="Arial"/>
      <w:b/>
      <w:bCs/>
      <w:noProof/>
      <w:sz w:val="18"/>
      <w:szCs w:val="18"/>
      <w:lang w:eastAsia="zh-CN"/>
    </w:rPr>
  </w:style>
  <w:style w:type="character" w:customStyle="1" w:styleId="FooterChar">
    <w:name w:val="Footer Char"/>
    <w:basedOn w:val="DefaultParagraphFont"/>
    <w:link w:val="Footer"/>
    <w:rsid w:val="00B31848"/>
    <w:rPr>
      <w:rFonts w:ascii="Arial" w:hAnsi="Arial" w:cs="Arial"/>
      <w:b/>
      <w:bCs/>
      <w:i/>
      <w:iCs/>
      <w:noProof/>
      <w:sz w:val="18"/>
      <w:szCs w:val="18"/>
      <w:lang w:eastAsia="zh-CN"/>
    </w:rPr>
  </w:style>
  <w:style w:type="paragraph" w:customStyle="1" w:styleId="NF">
    <w:name w:val="NF"/>
    <w:basedOn w:val="NO"/>
    <w:rsid w:val="00B31848"/>
    <w:pPr>
      <w:keepNext/>
      <w:spacing w:after="0"/>
    </w:pPr>
    <w:rPr>
      <w:rFonts w:ascii="Arial" w:hAnsi="Arial"/>
      <w:sz w:val="18"/>
    </w:rPr>
  </w:style>
  <w:style w:type="paragraph" w:customStyle="1" w:styleId="NO">
    <w:name w:val="NO"/>
    <w:basedOn w:val="Normal"/>
    <w:rsid w:val="00B31848"/>
    <w:pPr>
      <w:keepLines/>
      <w:spacing w:after="180"/>
      <w:ind w:left="1135" w:hanging="851"/>
    </w:pPr>
    <w:rPr>
      <w:rFonts w:ascii="Times New Roman"/>
      <w:sz w:val="20"/>
      <w:szCs w:val="20"/>
      <w:lang w:val="en-GB"/>
    </w:rPr>
  </w:style>
  <w:style w:type="paragraph" w:customStyle="1" w:styleId="PL">
    <w:name w:val="PL"/>
    <w:link w:val="PLChar"/>
    <w:rsid w:val="00B3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B31848"/>
    <w:pPr>
      <w:keepNext/>
      <w:keepLines/>
      <w:spacing w:line="180" w:lineRule="exact"/>
    </w:pPr>
    <w:rPr>
      <w:rFonts w:ascii="Courier New" w:hAnsi="Courier New"/>
      <w:noProof/>
      <w:lang w:val="en-GB"/>
    </w:rPr>
  </w:style>
  <w:style w:type="paragraph" w:customStyle="1" w:styleId="NW">
    <w:name w:val="NW"/>
    <w:basedOn w:val="NO"/>
    <w:rsid w:val="00B31848"/>
    <w:pPr>
      <w:spacing w:after="0"/>
    </w:pPr>
  </w:style>
  <w:style w:type="paragraph" w:customStyle="1" w:styleId="TAJ">
    <w:name w:val="TAJ"/>
    <w:basedOn w:val="TH"/>
    <w:rsid w:val="00B31848"/>
    <w:rPr>
      <w:rFonts w:ascii="Arial" w:hAnsi="Arial"/>
      <w:sz w:val="20"/>
      <w:szCs w:val="20"/>
      <w:lang w:val="en-GB"/>
    </w:rPr>
  </w:style>
  <w:style w:type="paragraph" w:customStyle="1" w:styleId="Guidance">
    <w:name w:val="Guidance"/>
    <w:basedOn w:val="Normal"/>
    <w:rsid w:val="00B31848"/>
    <w:pPr>
      <w:spacing w:after="180"/>
    </w:pPr>
    <w:rPr>
      <w:rFonts w:ascii="Times New Roman"/>
      <w:i/>
      <w:color w:val="0000FF"/>
      <w:sz w:val="20"/>
      <w:szCs w:val="20"/>
      <w:lang w:val="en-GB"/>
    </w:rPr>
  </w:style>
  <w:style w:type="character" w:customStyle="1" w:styleId="B1Zchn">
    <w:name w:val="B1 Zchn"/>
    <w:rsid w:val="00B31848"/>
    <w:rPr>
      <w:lang w:val="x-none"/>
    </w:rPr>
  </w:style>
  <w:style w:type="character" w:customStyle="1" w:styleId="B2Char">
    <w:name w:val="B2 Char"/>
    <w:link w:val="B2"/>
    <w:rsid w:val="00B31848"/>
    <w:rPr>
      <w:rFonts w:asciiTheme="minorHAnsi" w:hAnsi="Times New Roman"/>
      <w:sz w:val="22"/>
      <w:szCs w:val="22"/>
    </w:rPr>
  </w:style>
  <w:style w:type="character" w:customStyle="1" w:styleId="B2Car">
    <w:name w:val="B2 Car"/>
    <w:rsid w:val="00B31848"/>
    <w:rPr>
      <w:lang w:val="en-GB" w:eastAsia="en-US"/>
    </w:rPr>
  </w:style>
  <w:style w:type="character" w:customStyle="1" w:styleId="CommentSubjectChar">
    <w:name w:val="Comment Subject Char"/>
    <w:basedOn w:val="CommentTextChar"/>
    <w:link w:val="CommentSubject"/>
    <w:uiPriority w:val="99"/>
    <w:rsid w:val="00B31848"/>
    <w:rPr>
      <w:rFonts w:asciiTheme="minorHAnsi" w:hAnsi="Times New Roman"/>
      <w:b/>
      <w:bCs/>
      <w:sz w:val="22"/>
      <w:szCs w:val="22"/>
      <w:lang w:val="en-GB" w:eastAsia="zh-CN"/>
    </w:rPr>
  </w:style>
  <w:style w:type="character" w:customStyle="1" w:styleId="BalloonTextChar">
    <w:name w:val="Balloon Text Char"/>
    <w:basedOn w:val="DefaultParagraphFont"/>
    <w:link w:val="BalloonText"/>
    <w:uiPriority w:val="99"/>
    <w:rsid w:val="00B31848"/>
    <w:rPr>
      <w:rFonts w:ascii="Tahoma" w:hAnsi="Tahoma" w:cs="Tahoma"/>
      <w:sz w:val="16"/>
      <w:szCs w:val="16"/>
    </w:rPr>
  </w:style>
  <w:style w:type="character" w:customStyle="1" w:styleId="TALChar">
    <w:name w:val="TAL Char"/>
    <w:link w:val="TAL"/>
    <w:rsid w:val="00B31848"/>
    <w:rPr>
      <w:rFonts w:asciiTheme="minorHAnsi" w:hAnsi="Times New Roman"/>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1848"/>
    <w:rPr>
      <w:rFonts w:asciiTheme="minorHAnsi" w:hAnsi="Times New Roman"/>
      <w:sz w:val="16"/>
      <w:szCs w:val="16"/>
    </w:rPr>
  </w:style>
  <w:style w:type="character" w:customStyle="1" w:styleId="B1Char1">
    <w:name w:val="B1 Char1"/>
    <w:rsid w:val="00B31848"/>
    <w:rPr>
      <w:rFonts w:eastAsia="Times New Roman"/>
    </w:rPr>
  </w:style>
  <w:style w:type="character" w:customStyle="1" w:styleId="THChar">
    <w:name w:val="TH Char"/>
    <w:link w:val="TH"/>
    <w:rsid w:val="00B31848"/>
    <w:rPr>
      <w:rFonts w:asciiTheme="minorHAnsi" w:hAnsi="Times New Roman"/>
      <w:b/>
      <w:sz w:val="22"/>
      <w:szCs w:val="22"/>
    </w:rPr>
  </w:style>
  <w:style w:type="paragraph" w:styleId="IndexHeading">
    <w:name w:val="index heading"/>
    <w:basedOn w:val="Normal"/>
    <w:next w:val="Normal"/>
    <w:rsid w:val="00B31848"/>
    <w:pPr>
      <w:pBdr>
        <w:top w:val="single" w:sz="12" w:space="0" w:color="auto"/>
      </w:pBdr>
      <w:overflowPunct w:val="0"/>
      <w:autoSpaceDE w:val="0"/>
      <w:autoSpaceDN w:val="0"/>
      <w:adjustRightInd w:val="0"/>
      <w:spacing w:before="360" w:after="240"/>
      <w:textAlignment w:val="baseline"/>
    </w:pPr>
    <w:rPr>
      <w:rFonts w:ascii="Times New Roman"/>
      <w:b/>
      <w:i/>
      <w:sz w:val="26"/>
      <w:szCs w:val="20"/>
      <w:lang w:val="en-GB" w:eastAsia="en-GB"/>
    </w:rPr>
  </w:style>
  <w:style w:type="paragraph" w:customStyle="1" w:styleId="INDENT1">
    <w:name w:val="INDENT1"/>
    <w:basedOn w:val="Normal"/>
    <w:rsid w:val="00B31848"/>
    <w:pPr>
      <w:overflowPunct w:val="0"/>
      <w:autoSpaceDE w:val="0"/>
      <w:autoSpaceDN w:val="0"/>
      <w:adjustRightInd w:val="0"/>
      <w:spacing w:after="180"/>
      <w:ind w:left="851"/>
      <w:textAlignment w:val="baseline"/>
    </w:pPr>
    <w:rPr>
      <w:rFonts w:ascii="Times New Roman"/>
      <w:sz w:val="20"/>
      <w:szCs w:val="20"/>
      <w:lang w:val="en-GB" w:eastAsia="en-GB"/>
    </w:rPr>
  </w:style>
  <w:style w:type="paragraph" w:customStyle="1" w:styleId="INDENT2">
    <w:name w:val="INDENT2"/>
    <w:basedOn w:val="Normal"/>
    <w:rsid w:val="00B31848"/>
    <w:pPr>
      <w:overflowPunct w:val="0"/>
      <w:autoSpaceDE w:val="0"/>
      <w:autoSpaceDN w:val="0"/>
      <w:adjustRightInd w:val="0"/>
      <w:spacing w:after="180"/>
      <w:ind w:left="1135" w:hanging="284"/>
      <w:textAlignment w:val="baseline"/>
    </w:pPr>
    <w:rPr>
      <w:rFonts w:ascii="Times New Roman"/>
      <w:sz w:val="20"/>
      <w:szCs w:val="20"/>
      <w:lang w:val="en-GB" w:eastAsia="en-GB"/>
    </w:rPr>
  </w:style>
  <w:style w:type="paragraph" w:customStyle="1" w:styleId="INDENT3">
    <w:name w:val="INDENT3"/>
    <w:basedOn w:val="Normal"/>
    <w:rsid w:val="00B31848"/>
    <w:pPr>
      <w:overflowPunct w:val="0"/>
      <w:autoSpaceDE w:val="0"/>
      <w:autoSpaceDN w:val="0"/>
      <w:adjustRightInd w:val="0"/>
      <w:spacing w:after="180"/>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B31848"/>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ascii="Times New Roman"/>
      <w:b/>
      <w:sz w:val="24"/>
      <w:szCs w:val="20"/>
      <w:lang w:val="en-GB" w:eastAsia="en-GB"/>
    </w:rPr>
  </w:style>
  <w:style w:type="paragraph" w:customStyle="1" w:styleId="RecCCITT">
    <w:name w:val="Rec_CCITT_#"/>
    <w:basedOn w:val="Normal"/>
    <w:rsid w:val="00B31848"/>
    <w:pPr>
      <w:keepNext/>
      <w:keepLines/>
      <w:overflowPunct w:val="0"/>
      <w:autoSpaceDE w:val="0"/>
      <w:autoSpaceDN w:val="0"/>
      <w:adjustRightInd w:val="0"/>
      <w:spacing w:after="180"/>
      <w:textAlignment w:val="baseline"/>
    </w:pPr>
    <w:rPr>
      <w:rFonts w:ascii="Times New Roman"/>
      <w:b/>
      <w:sz w:val="20"/>
      <w:szCs w:val="20"/>
      <w:lang w:val="en-GB" w:eastAsia="en-GB"/>
    </w:rPr>
  </w:style>
  <w:style w:type="paragraph" w:customStyle="1" w:styleId="enumlev2">
    <w:name w:val="enumlev2"/>
    <w:basedOn w:val="Normal"/>
    <w:rsid w:val="00B31848"/>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sz w:val="20"/>
      <w:szCs w:val="20"/>
      <w:lang w:eastAsia="en-GB"/>
    </w:rPr>
  </w:style>
  <w:style w:type="paragraph" w:customStyle="1" w:styleId="CouvRecTitle">
    <w:name w:val="Couv Rec Title"/>
    <w:basedOn w:val="Normal"/>
    <w:rsid w:val="00B31848"/>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customStyle="1" w:styleId="DocumentMapChar">
    <w:name w:val="Document Map Char"/>
    <w:basedOn w:val="DefaultParagraphFont"/>
    <w:link w:val="DocumentMap"/>
    <w:uiPriority w:val="99"/>
    <w:rsid w:val="00B31848"/>
    <w:rPr>
      <w:rFonts w:ascii="Tahoma" w:hAnsi="Tahoma" w:cs="Tahoma"/>
      <w:sz w:val="22"/>
      <w:szCs w:val="22"/>
      <w:shd w:val="clear" w:color="auto" w:fill="000080"/>
    </w:rPr>
  </w:style>
  <w:style w:type="paragraph" w:styleId="PlainText">
    <w:name w:val="Plain Text"/>
    <w:basedOn w:val="Normal"/>
    <w:link w:val="PlainTextChar"/>
    <w:rsid w:val="00B31848"/>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B31848"/>
    <w:rPr>
      <w:rFonts w:ascii="Courier New" w:hAnsi="Courier New"/>
      <w:lang w:val="nb-NO" w:eastAsia="en-GB"/>
    </w:rPr>
  </w:style>
  <w:style w:type="paragraph" w:styleId="BodyText2">
    <w:name w:val="Body Text 2"/>
    <w:basedOn w:val="Normal"/>
    <w:link w:val="BodyText2Char"/>
    <w:rsid w:val="00B31848"/>
    <w:pPr>
      <w:widowControl w:val="0"/>
      <w:tabs>
        <w:tab w:val="left" w:pos="2205"/>
      </w:tabs>
      <w:overflowPunct w:val="0"/>
      <w:autoSpaceDE w:val="0"/>
      <w:autoSpaceDN w:val="0"/>
      <w:adjustRightInd w:val="0"/>
      <w:ind w:left="630"/>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B31848"/>
    <w:rPr>
      <w:rFonts w:ascii="Times New Roman" w:hAnsi="Times New Roman"/>
      <w:kern w:val="2"/>
      <w:sz w:val="21"/>
      <w:lang w:val="x-none" w:eastAsia="x-none"/>
    </w:rPr>
  </w:style>
  <w:style w:type="paragraph" w:styleId="BodyTextIndent2">
    <w:name w:val="Body Text Indent 2"/>
    <w:basedOn w:val="Normal"/>
    <w:link w:val="BodyTextIndent2Char"/>
    <w:rsid w:val="00B31848"/>
    <w:pPr>
      <w:widowControl w:val="0"/>
      <w:tabs>
        <w:tab w:val="left" w:pos="2205"/>
      </w:tabs>
      <w:overflowPunct w:val="0"/>
      <w:autoSpaceDE w:val="0"/>
      <w:autoSpaceDN w:val="0"/>
      <w:adjustRightInd w:val="0"/>
      <w:ind w:left="200"/>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B31848"/>
    <w:rPr>
      <w:rFonts w:ascii="Times New Roman" w:hAnsi="Times New Roman"/>
      <w:kern w:val="2"/>
      <w:lang w:val="x-none" w:eastAsia="x-none"/>
    </w:rPr>
  </w:style>
  <w:style w:type="paragraph" w:styleId="BodyTextIndent3">
    <w:name w:val="Body Text Indent 3"/>
    <w:basedOn w:val="Normal"/>
    <w:link w:val="BodyTextIndent3Char"/>
    <w:rsid w:val="00B31848"/>
    <w:pPr>
      <w:overflowPunct w:val="0"/>
      <w:autoSpaceDE w:val="0"/>
      <w:autoSpaceDN w:val="0"/>
      <w:adjustRightInd w:val="0"/>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B31848"/>
    <w:rPr>
      <w:rFonts w:ascii="Times New Roman" w:hAnsi="Times New Roman"/>
      <w:lang w:eastAsia="ja-JP"/>
    </w:rPr>
  </w:style>
  <w:style w:type="paragraph" w:customStyle="1" w:styleId="numberedlist">
    <w:name w:val="numbered list"/>
    <w:basedOn w:val="ListBullet"/>
    <w:rsid w:val="00B318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ascii="Times New Roman"/>
      <w:sz w:val="20"/>
      <w:szCs w:val="20"/>
      <w:lang w:val="en-GB" w:eastAsia="ja-JP"/>
    </w:rPr>
  </w:style>
  <w:style w:type="paragraph" w:customStyle="1" w:styleId="CRfront">
    <w:name w:val="CR_front"/>
    <w:next w:val="Normal"/>
    <w:rsid w:val="00B31848"/>
    <w:rPr>
      <w:rFonts w:ascii="Arial" w:eastAsia="MS Mincho" w:hAnsi="Arial"/>
      <w:lang w:val="en-GB"/>
    </w:rPr>
  </w:style>
  <w:style w:type="paragraph" w:customStyle="1" w:styleId="TabList">
    <w:name w:val="TabList"/>
    <w:basedOn w:val="Normal"/>
    <w:rsid w:val="00B31848"/>
    <w:pPr>
      <w:tabs>
        <w:tab w:val="left" w:pos="1134"/>
      </w:tabs>
      <w:overflowPunct w:val="0"/>
      <w:autoSpaceDE w:val="0"/>
      <w:autoSpaceDN w:val="0"/>
      <w:adjustRightInd w:val="0"/>
      <w:textAlignment w:val="baseline"/>
    </w:pPr>
    <w:rPr>
      <w:rFonts w:ascii="Times New Roman" w:eastAsia="MS Mincho"/>
      <w:sz w:val="20"/>
      <w:szCs w:val="20"/>
      <w:lang w:val="en-GB" w:eastAsia="en-GB"/>
    </w:rPr>
  </w:style>
  <w:style w:type="paragraph" w:customStyle="1" w:styleId="tabletext">
    <w:name w:val="table text"/>
    <w:basedOn w:val="Normal"/>
    <w:next w:val="table"/>
    <w:rsid w:val="00B31848"/>
    <w:pPr>
      <w:overflowPunct w:val="0"/>
      <w:autoSpaceDE w:val="0"/>
      <w:autoSpaceDN w:val="0"/>
      <w:adjustRightInd w:val="0"/>
      <w:textAlignment w:val="baseline"/>
    </w:pPr>
    <w:rPr>
      <w:rFonts w:ascii="Times New Roman" w:eastAsia="MS Mincho"/>
      <w:i/>
      <w:sz w:val="20"/>
      <w:szCs w:val="20"/>
      <w:lang w:val="en-GB" w:eastAsia="en-GB"/>
    </w:rPr>
  </w:style>
  <w:style w:type="paragraph" w:customStyle="1" w:styleId="table">
    <w:name w:val="table"/>
    <w:basedOn w:val="Normal"/>
    <w:next w:val="Normal"/>
    <w:rsid w:val="00B31848"/>
    <w:pPr>
      <w:overflowPunct w:val="0"/>
      <w:autoSpaceDE w:val="0"/>
      <w:autoSpaceDN w:val="0"/>
      <w:adjustRightInd w:val="0"/>
      <w:jc w:val="center"/>
      <w:textAlignment w:val="baseline"/>
    </w:pPr>
    <w:rPr>
      <w:rFonts w:ascii="Times New Roman" w:eastAsia="MS Mincho"/>
      <w:sz w:val="20"/>
      <w:szCs w:val="20"/>
      <w:lang w:eastAsia="en-GB"/>
    </w:rPr>
  </w:style>
  <w:style w:type="paragraph" w:customStyle="1" w:styleId="HE">
    <w:name w:val="HE"/>
    <w:basedOn w:val="Normal"/>
    <w:rsid w:val="00B31848"/>
    <w:pPr>
      <w:overflowPunct w:val="0"/>
      <w:autoSpaceDE w:val="0"/>
      <w:autoSpaceDN w:val="0"/>
      <w:adjustRightInd w:val="0"/>
      <w:textAlignment w:val="baseline"/>
    </w:pPr>
    <w:rPr>
      <w:rFonts w:ascii="Times New Roman" w:eastAsia="MS Mincho"/>
      <w:b/>
      <w:sz w:val="20"/>
      <w:szCs w:val="20"/>
      <w:lang w:val="en-GB" w:eastAsia="en-GB"/>
    </w:rPr>
  </w:style>
  <w:style w:type="paragraph" w:customStyle="1" w:styleId="text">
    <w:name w:val="text"/>
    <w:basedOn w:val="Normal"/>
    <w:link w:val="textChar"/>
    <w:qFormat/>
    <w:rsid w:val="00B31848"/>
    <w:pPr>
      <w:widowControl w:val="0"/>
      <w:overflowPunct w:val="0"/>
      <w:autoSpaceDE w:val="0"/>
      <w:autoSpaceDN w:val="0"/>
      <w:adjustRightInd w:val="0"/>
      <w:spacing w:after="240"/>
      <w:textAlignment w:val="baseline"/>
    </w:pPr>
    <w:rPr>
      <w:rFonts w:ascii="Times New Roman"/>
      <w:sz w:val="24"/>
      <w:szCs w:val="20"/>
      <w:lang w:val="en-AU" w:eastAsia="en-GB"/>
    </w:rPr>
  </w:style>
  <w:style w:type="paragraph" w:customStyle="1" w:styleId="berschrift1H1">
    <w:name w:val="Überschrift 1.H1"/>
    <w:basedOn w:val="Normal"/>
    <w:next w:val="Normal"/>
    <w:rsid w:val="00B31848"/>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B31848"/>
    <w:pPr>
      <w:widowControl/>
      <w:numPr>
        <w:numId w:val="11"/>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B31848"/>
    <w:pPr>
      <w:widowControl/>
      <w:numPr>
        <w:numId w:val="12"/>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B31848"/>
    <w:pPr>
      <w:widowControl/>
      <w:numPr>
        <w:numId w:val="13"/>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B31848"/>
    <w:pPr>
      <w:widowControl w:val="0"/>
      <w:numPr>
        <w:numId w:val="15"/>
      </w:numPr>
      <w:overflowPunct w:val="0"/>
      <w:autoSpaceDE w:val="0"/>
      <w:autoSpaceDN w:val="0"/>
      <w:adjustRightInd w:val="0"/>
      <w:spacing w:before="60" w:after="60"/>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B31848"/>
    <w:pPr>
      <w:keepLines w:val="0"/>
      <w:numPr>
        <w:numId w:val="16"/>
      </w:numPr>
      <w:overflowPunct w:val="0"/>
      <w:autoSpaceDE w:val="0"/>
      <w:autoSpaceDN w:val="0"/>
      <w:adjustRightInd w:val="0"/>
      <w:spacing w:before="240"/>
      <w:textAlignment w:val="baseline"/>
    </w:pPr>
    <w:rPr>
      <w:rFonts w:ascii="Arial" w:eastAsia="Times New Roman" w:hAnsi="Arial" w:cs="Times New Roman"/>
      <w:bCs w:val="0"/>
      <w:noProof/>
      <w:color w:val="auto"/>
      <w:kern w:val="28"/>
      <w:sz w:val="24"/>
      <w:szCs w:val="20"/>
      <w:lang w:eastAsia="en-GB"/>
    </w:rPr>
  </w:style>
  <w:style w:type="paragraph" w:styleId="Date">
    <w:name w:val="Date"/>
    <w:basedOn w:val="Normal"/>
    <w:next w:val="Normal"/>
    <w:link w:val="DateChar"/>
    <w:rsid w:val="00B31848"/>
    <w:pPr>
      <w:overflowPunct w:val="0"/>
      <w:autoSpaceDE w:val="0"/>
      <w:autoSpaceDN w:val="0"/>
      <w:adjustRightInd w:val="0"/>
      <w:textAlignment w:val="baseline"/>
    </w:pPr>
    <w:rPr>
      <w:rFonts w:ascii="Times New Roman"/>
      <w:sz w:val="20"/>
      <w:szCs w:val="20"/>
      <w:lang w:val="en-GB" w:eastAsia="en-GB"/>
    </w:rPr>
  </w:style>
  <w:style w:type="character" w:customStyle="1" w:styleId="DateChar">
    <w:name w:val="Date Char"/>
    <w:basedOn w:val="DefaultParagraphFont"/>
    <w:link w:val="Date"/>
    <w:rsid w:val="00B31848"/>
    <w:rPr>
      <w:rFonts w:ascii="Times New Roman" w:hAnsi="Times New Roman"/>
      <w:lang w:val="en-GB" w:eastAsia="en-GB"/>
    </w:rPr>
  </w:style>
  <w:style w:type="paragraph" w:customStyle="1" w:styleId="Meetingcaption">
    <w:name w:val="Meeting caption"/>
    <w:basedOn w:val="Normal"/>
    <w:rsid w:val="00B318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snapToGrid w:val="0"/>
      <w:szCs w:val="20"/>
      <w:lang w:val="fr-FR" w:eastAsia="en-GB"/>
    </w:rPr>
  </w:style>
  <w:style w:type="paragraph" w:customStyle="1" w:styleId="para">
    <w:name w:val="para"/>
    <w:basedOn w:val="Normal"/>
    <w:rsid w:val="00B31848"/>
    <w:pPr>
      <w:overflowPunct w:val="0"/>
      <w:autoSpaceDE w:val="0"/>
      <w:autoSpaceDN w:val="0"/>
      <w:adjustRightInd w:val="0"/>
      <w:spacing w:after="240"/>
      <w:textAlignment w:val="baseline"/>
    </w:pPr>
    <w:rPr>
      <w:rFonts w:ascii="Helvetica" w:hAnsi="Helvetica"/>
      <w:sz w:val="20"/>
      <w:szCs w:val="20"/>
      <w:lang w:val="en-GB" w:eastAsia="en-GB"/>
    </w:rPr>
  </w:style>
  <w:style w:type="paragraph" w:customStyle="1" w:styleId="Cell">
    <w:name w:val="Cell"/>
    <w:basedOn w:val="Normal"/>
    <w:rsid w:val="00B31848"/>
    <w:pPr>
      <w:overflowPunct w:val="0"/>
      <w:autoSpaceDE w:val="0"/>
      <w:autoSpaceDN w:val="0"/>
      <w:adjustRightInd w:val="0"/>
      <w:spacing w:line="240" w:lineRule="exact"/>
      <w:jc w:val="center"/>
      <w:textAlignment w:val="baseline"/>
    </w:pPr>
    <w:rPr>
      <w:rFonts w:ascii="Times New Roman"/>
      <w:sz w:val="16"/>
      <w:szCs w:val="20"/>
      <w:lang w:eastAsia="ja-JP"/>
    </w:rPr>
  </w:style>
  <w:style w:type="paragraph" w:customStyle="1" w:styleId="h60">
    <w:name w:val="h6"/>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b10">
    <w:name w:val="b1"/>
    <w:basedOn w:val="Normal"/>
    <w:rsid w:val="00B31848"/>
    <w:pPr>
      <w:overflowPunct w:val="0"/>
      <w:autoSpaceDE w:val="0"/>
      <w:autoSpaceDN w:val="0"/>
      <w:adjustRightInd w:val="0"/>
      <w:spacing w:before="100" w:beforeAutospacing="1" w:after="100" w:afterAutospacing="1"/>
      <w:textAlignment w:val="baseline"/>
    </w:pPr>
    <w:rPr>
      <w:rFonts w:ascii="Times New Roman"/>
      <w:sz w:val="24"/>
      <w:szCs w:val="24"/>
      <w:lang w:eastAsia="ja-JP"/>
    </w:rPr>
  </w:style>
  <w:style w:type="paragraph" w:customStyle="1" w:styleId="tah0">
    <w:name w:val="tah"/>
    <w:basedOn w:val="Normal"/>
    <w:rsid w:val="00B31848"/>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B31848"/>
    <w:rPr>
      <w:i/>
      <w:color w:val="0000FF"/>
      <w:lang w:val="en-GB" w:eastAsia="ja-JP" w:bidi="ar-SA"/>
    </w:rPr>
  </w:style>
  <w:style w:type="paragraph" w:customStyle="1" w:styleId="CharCharCharChar">
    <w:name w:val="Char Char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31848"/>
    <w:rPr>
      <w:rFonts w:ascii="Arial" w:hAnsi="Arial"/>
      <w:sz w:val="24"/>
      <w:lang w:val="en-GB" w:eastAsia="ja-JP" w:bidi="ar-SA"/>
    </w:rPr>
  </w:style>
  <w:style w:type="table" w:customStyle="1" w:styleId="TableGrid1">
    <w:name w:val="Table Grid1"/>
    <w:basedOn w:val="TableNormal"/>
    <w:next w:val="TableGrid"/>
    <w:uiPriority w:val="59"/>
    <w:rsid w:val="00B31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1848"/>
    <w:pPr>
      <w:tabs>
        <w:tab w:val="num" w:pos="2560"/>
      </w:tabs>
      <w:spacing w:after="180"/>
      <w:ind w:left="2560" w:hanging="357"/>
    </w:pPr>
    <w:rPr>
      <w:rFonts w:ascii="Times New Roman"/>
      <w:sz w:val="20"/>
      <w:szCs w:val="20"/>
      <w:lang w:val="en-AU" w:eastAsia="ko-KR"/>
    </w:rPr>
  </w:style>
  <w:style w:type="character" w:customStyle="1" w:styleId="FigureCaption1">
    <w:name w:val="Figure Caption1"/>
    <w:aliases w:val="fc Char1,Figure Caption Char Char"/>
    <w:rsid w:val="00B31848"/>
    <w:rPr>
      <w:rFonts w:ascii="Arial" w:eastAsia="????" w:hAnsi="Arial" w:cs="Arial"/>
      <w:color w:val="0000FF"/>
      <w:kern w:val="2"/>
      <w:lang w:val="en-US" w:eastAsia="en-US" w:bidi="ar-SA"/>
    </w:rPr>
  </w:style>
  <w:style w:type="character" w:customStyle="1" w:styleId="CharChar5">
    <w:name w:val="Char Char5"/>
    <w:semiHidden/>
    <w:rsid w:val="00B3184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B31848"/>
    <w:rPr>
      <w:rFonts w:ascii="Arial" w:hAnsi="Arial"/>
      <w:sz w:val="32"/>
      <w:lang w:val="en-GB"/>
    </w:rPr>
  </w:style>
  <w:style w:type="character" w:customStyle="1" w:styleId="ListChar">
    <w:name w:val="List Char"/>
    <w:link w:val="List"/>
    <w:rsid w:val="00B31848"/>
    <w:rPr>
      <w:rFonts w:asciiTheme="minorHAnsi" w:hAnsi="Times New Roman"/>
      <w:sz w:val="22"/>
      <w:szCs w:val="22"/>
    </w:rPr>
  </w:style>
  <w:style w:type="character" w:customStyle="1" w:styleId="PLChar">
    <w:name w:val="PL Char"/>
    <w:link w:val="PL"/>
    <w:locked/>
    <w:rsid w:val="00B31848"/>
    <w:rPr>
      <w:rFonts w:ascii="Courier New" w:hAnsi="Courier New"/>
      <w:noProof/>
      <w:sz w:val="16"/>
      <w:lang w:val="en-GB"/>
    </w:rPr>
  </w:style>
  <w:style w:type="character" w:customStyle="1" w:styleId="List2Char">
    <w:name w:val="List 2 Char"/>
    <w:link w:val="List2"/>
    <w:rsid w:val="00B31848"/>
    <w:rPr>
      <w:rFonts w:asciiTheme="minorHAnsi" w:hAnsi="Times New Roman"/>
      <w:sz w:val="22"/>
      <w:szCs w:val="22"/>
    </w:rPr>
  </w:style>
  <w:style w:type="character" w:customStyle="1" w:styleId="List3Char">
    <w:name w:val="List 3 Char"/>
    <w:link w:val="List3"/>
    <w:rsid w:val="00B31848"/>
    <w:rPr>
      <w:rFonts w:asciiTheme="minorHAnsi" w:hAnsi="Times New Roman"/>
      <w:sz w:val="22"/>
      <w:szCs w:val="22"/>
    </w:rPr>
  </w:style>
  <w:style w:type="character" w:customStyle="1" w:styleId="B3Char">
    <w:name w:val="B3 Char"/>
    <w:link w:val="B3"/>
    <w:rsid w:val="00B31848"/>
    <w:rPr>
      <w:rFonts w:asciiTheme="minorHAnsi" w:hAnsi="Times New Roman"/>
      <w:sz w:val="22"/>
      <w:szCs w:val="22"/>
    </w:rPr>
  </w:style>
  <w:style w:type="paragraph" w:customStyle="1" w:styleId="tdoc-header">
    <w:name w:val="tdoc-header"/>
    <w:rsid w:val="00B31848"/>
    <w:rPr>
      <w:rFonts w:ascii="Arial" w:hAnsi="Arial"/>
      <w:noProof/>
      <w:sz w:val="24"/>
      <w:lang w:val="en-GB"/>
    </w:rPr>
  </w:style>
  <w:style w:type="paragraph" w:customStyle="1" w:styleId="CharChar3CharCharCharCharCharChar">
    <w:name w:val="Char Char3 Char Char Char Char Char Char"/>
    <w:semiHidden/>
    <w:rsid w:val="00B318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31848"/>
    <w:rPr>
      <w:rFonts w:ascii="Times New Roman" w:hAnsi="Times New Roman"/>
      <w:lang w:eastAsia="en-US"/>
    </w:rPr>
  </w:style>
  <w:style w:type="character" w:customStyle="1" w:styleId="TACChar">
    <w:name w:val="TAC Char"/>
    <w:link w:val="TAC"/>
    <w:locked/>
    <w:rsid w:val="00B31848"/>
    <w:rPr>
      <w:rFonts w:asciiTheme="minorHAnsi" w:hAnsi="Times New Roman"/>
      <w:sz w:val="18"/>
      <w:szCs w:val="22"/>
    </w:rPr>
  </w:style>
  <w:style w:type="paragraph" w:customStyle="1" w:styleId="TableCell">
    <w:name w:val="Table Cell"/>
    <w:basedOn w:val="TAC"/>
    <w:link w:val="TableCellChar"/>
    <w:qFormat/>
    <w:rsid w:val="00B31848"/>
    <w:pPr>
      <w:overflowPunct w:val="0"/>
      <w:autoSpaceDE w:val="0"/>
      <w:autoSpaceDN w:val="0"/>
      <w:adjustRightInd w:val="0"/>
    </w:pPr>
    <w:rPr>
      <w:rFonts w:ascii="Arial" w:eastAsia="SimSun" w:hAnsi="Arial"/>
      <w:szCs w:val="20"/>
      <w:lang w:val="en-GB" w:eastAsia="zh-CN"/>
    </w:rPr>
  </w:style>
  <w:style w:type="character" w:customStyle="1" w:styleId="TableCellChar">
    <w:name w:val="Table Cell Char"/>
    <w:link w:val="TableCell"/>
    <w:rsid w:val="00B31848"/>
    <w:rPr>
      <w:rFonts w:ascii="Arial" w:eastAsia="SimSun" w:hAnsi="Arial"/>
      <w:sz w:val="18"/>
      <w:lang w:val="en-GB" w:eastAsia="zh-CN"/>
    </w:rPr>
  </w:style>
  <w:style w:type="character" w:customStyle="1" w:styleId="TAHCar">
    <w:name w:val="TAH Car"/>
    <w:link w:val="TAH"/>
    <w:rsid w:val="00B31848"/>
    <w:rPr>
      <w:rFonts w:asciiTheme="minorHAnsi" w:hAnsi="Times New Roman"/>
      <w:b/>
      <w:sz w:val="18"/>
      <w:szCs w:val="22"/>
    </w:rPr>
  </w:style>
  <w:style w:type="character" w:customStyle="1" w:styleId="B11">
    <w:name w:val="B1 (文字)"/>
    <w:uiPriority w:val="99"/>
    <w:locked/>
    <w:rsid w:val="00B31848"/>
    <w:rPr>
      <w:rFonts w:ascii="Times New Roman" w:hAnsi="Times New Roman"/>
      <w:lang w:val="en-GB" w:eastAsia="en-US"/>
    </w:rPr>
  </w:style>
  <w:style w:type="character" w:customStyle="1" w:styleId="TALCar">
    <w:name w:val="TAL Car"/>
    <w:rsid w:val="00B31848"/>
    <w:rPr>
      <w:rFonts w:ascii="Arial" w:hAnsi="Arial"/>
      <w:sz w:val="18"/>
      <w:lang w:eastAsia="en-US"/>
    </w:rPr>
  </w:style>
  <w:style w:type="paragraph" w:customStyle="1" w:styleId="MTDisplayEquation">
    <w:name w:val="MTDisplayEquation"/>
    <w:basedOn w:val="Normal"/>
    <w:next w:val="Normal"/>
    <w:link w:val="MTDisplayEquationChar"/>
    <w:rsid w:val="00B31848"/>
    <w:pPr>
      <w:tabs>
        <w:tab w:val="center" w:pos="4680"/>
        <w:tab w:val="right" w:pos="9360"/>
      </w:tabs>
    </w:pPr>
    <w:rPr>
      <w:rFonts w:ascii="Times New Roman" w:eastAsia="Calibri"/>
      <w:sz w:val="20"/>
      <w:lang w:val="x-none" w:eastAsia="x-none"/>
    </w:rPr>
  </w:style>
  <w:style w:type="character" w:customStyle="1" w:styleId="MTDisplayEquationChar">
    <w:name w:val="MTDisplayEquation Char"/>
    <w:link w:val="MTDisplayEquation"/>
    <w:rsid w:val="00B31848"/>
    <w:rPr>
      <w:rFonts w:ascii="Times New Roman" w:eastAsia="Calibri" w:hAnsi="Times New Roman"/>
      <w:szCs w:val="22"/>
      <w:lang w:val="x-none" w:eastAsia="x-none"/>
    </w:rPr>
  </w:style>
  <w:style w:type="paragraph" w:customStyle="1" w:styleId="Doc-text2">
    <w:name w:val="Doc-text2"/>
    <w:basedOn w:val="Normal"/>
    <w:link w:val="Doc-text2Char"/>
    <w:qFormat/>
    <w:rsid w:val="00B31848"/>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B31848"/>
    <w:rPr>
      <w:rFonts w:ascii="Arial" w:eastAsia="MS Mincho" w:hAnsi="Arial"/>
      <w:szCs w:val="24"/>
      <w:lang w:val="en-GB" w:eastAsia="en-GB"/>
    </w:rPr>
  </w:style>
  <w:style w:type="paragraph" w:customStyle="1" w:styleId="Default">
    <w:name w:val="Default"/>
    <w:rsid w:val="00B31848"/>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B31848"/>
    <w:rPr>
      <w:rFonts w:ascii="Times New Roman" w:hAnsi="Times New Roman"/>
      <w:sz w:val="24"/>
      <w:lang w:val="en-AU" w:eastAsia="en-GB"/>
    </w:rPr>
  </w:style>
  <w:style w:type="paragraph" w:customStyle="1" w:styleId="bullet1">
    <w:name w:val="bullet1"/>
    <w:basedOn w:val="text"/>
    <w:link w:val="bullet1Char"/>
    <w:qFormat/>
    <w:rsid w:val="00B31848"/>
    <w:pPr>
      <w:widowControl/>
      <w:numPr>
        <w:numId w:val="17"/>
      </w:numPr>
      <w:overflowPunct/>
      <w:autoSpaceDE/>
      <w:autoSpaceDN/>
      <w:adjustRightInd/>
      <w:spacing w:after="0"/>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31848"/>
    <w:pPr>
      <w:widowControl/>
      <w:numPr>
        <w:ilvl w:val="1"/>
        <w:numId w:val="17"/>
      </w:numPr>
      <w:overflowPunct/>
      <w:autoSpaceDE/>
      <w:autoSpaceDN/>
      <w:adjustRightInd/>
      <w:spacing w:after="0"/>
      <w:textAlignment w:val="auto"/>
    </w:pPr>
    <w:rPr>
      <w:rFonts w:ascii="Times" w:eastAsia="SimSun" w:hAnsi="Times"/>
      <w:kern w:val="2"/>
      <w:szCs w:val="24"/>
      <w:lang w:val="en-GB" w:eastAsia="zh-CN"/>
    </w:rPr>
  </w:style>
  <w:style w:type="character" w:customStyle="1" w:styleId="bullet1Char">
    <w:name w:val="bullet1 Char"/>
    <w:link w:val="bullet1"/>
    <w:rsid w:val="00B31848"/>
    <w:rPr>
      <w:rFonts w:ascii="Calibri" w:eastAsia="SimSun" w:hAnsi="Calibri" w:cstheme="minorBidi"/>
      <w:kern w:val="2"/>
      <w:sz w:val="24"/>
      <w:szCs w:val="24"/>
      <w:lang w:val="en-GB" w:eastAsia="zh-CN"/>
    </w:rPr>
  </w:style>
  <w:style w:type="paragraph" w:customStyle="1" w:styleId="bullet3">
    <w:name w:val="bullet3"/>
    <w:basedOn w:val="text"/>
    <w:qFormat/>
    <w:rsid w:val="00B31848"/>
    <w:pPr>
      <w:widowControl/>
      <w:numPr>
        <w:ilvl w:val="2"/>
        <w:numId w:val="17"/>
      </w:numPr>
      <w:overflowPunct/>
      <w:autoSpaceDE/>
      <w:autoSpaceDN/>
      <w:adjustRightInd/>
      <w:spacing w:after="0"/>
      <w:textAlignment w:val="auto"/>
    </w:pPr>
    <w:rPr>
      <w:rFonts w:ascii="Times" w:eastAsia="Batang" w:hAnsi="Times"/>
      <w:sz w:val="20"/>
      <w:szCs w:val="24"/>
      <w:lang w:val="en-GB" w:eastAsia="en-US"/>
    </w:rPr>
  </w:style>
  <w:style w:type="character" w:customStyle="1" w:styleId="bullet2Char">
    <w:name w:val="bullet2 Char"/>
    <w:link w:val="bullet2"/>
    <w:rsid w:val="00B31848"/>
    <w:rPr>
      <w:rFonts w:ascii="Times" w:eastAsia="SimSun" w:hAnsi="Times" w:cstheme="minorBidi"/>
      <w:kern w:val="2"/>
      <w:sz w:val="24"/>
      <w:szCs w:val="24"/>
      <w:lang w:val="en-GB" w:eastAsia="zh-CN"/>
    </w:rPr>
  </w:style>
  <w:style w:type="paragraph" w:customStyle="1" w:styleId="bullet4">
    <w:name w:val="bullet4"/>
    <w:basedOn w:val="text"/>
    <w:qFormat/>
    <w:rsid w:val="00B31848"/>
    <w:pPr>
      <w:widowControl/>
      <w:numPr>
        <w:ilvl w:val="3"/>
        <w:numId w:val="17"/>
      </w:numPr>
      <w:overflowPunct/>
      <w:autoSpaceDE/>
      <w:autoSpaceDN/>
      <w:adjustRightInd/>
      <w:spacing w:after="0"/>
      <w:textAlignment w:val="auto"/>
    </w:pPr>
    <w:rPr>
      <w:rFonts w:ascii="Times" w:eastAsia="Batang" w:hAnsi="Times"/>
      <w:sz w:val="20"/>
      <w:szCs w:val="24"/>
      <w:lang w:val="en-GB" w:eastAsia="en-US"/>
    </w:rPr>
  </w:style>
  <w:style w:type="paragraph" w:customStyle="1" w:styleId="SpecTextNum">
    <w:name w:val="Spec Text Num"/>
    <w:basedOn w:val="Normal"/>
    <w:rsid w:val="00B31848"/>
    <w:pPr>
      <w:numPr>
        <w:numId w:val="18"/>
      </w:numPr>
    </w:pPr>
    <w:rPr>
      <w:rFonts w:ascii="Times New Roman" w:eastAsia="MS Mincho"/>
      <w:sz w:val="24"/>
      <w:szCs w:val="24"/>
      <w:lang w:eastAsia="ja-JP"/>
    </w:rPr>
  </w:style>
  <w:style w:type="paragraph" w:customStyle="1" w:styleId="Comments">
    <w:name w:val="Comments"/>
    <w:basedOn w:val="Normal"/>
    <w:link w:val="CommentsChar"/>
    <w:qFormat/>
    <w:rsid w:val="00B31848"/>
    <w:pPr>
      <w:spacing w:before="40"/>
    </w:pPr>
    <w:rPr>
      <w:rFonts w:ascii="Arial" w:eastAsia="MS Mincho" w:hAnsi="Arial"/>
      <w:i/>
      <w:sz w:val="18"/>
      <w:szCs w:val="24"/>
      <w:lang w:val="en-GB" w:eastAsia="en-GB"/>
    </w:rPr>
  </w:style>
  <w:style w:type="character" w:customStyle="1" w:styleId="CommentsChar">
    <w:name w:val="Comments Char"/>
    <w:link w:val="Comments"/>
    <w:rsid w:val="00B31848"/>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B31848"/>
    <w:pPr>
      <w:numPr>
        <w:numId w:val="19"/>
      </w:numPr>
    </w:pPr>
    <w:rPr>
      <w:rFonts w:ascii="Times New Roman"/>
      <w:sz w:val="20"/>
      <w:szCs w:val="24"/>
      <w:lang w:val="x-none" w:eastAsia="x-none"/>
    </w:rPr>
  </w:style>
  <w:style w:type="character" w:customStyle="1" w:styleId="bulletChar">
    <w:name w:val="bullet Char"/>
    <w:link w:val="bullet"/>
    <w:uiPriority w:val="99"/>
    <w:rsid w:val="00B31848"/>
    <w:rPr>
      <w:rFonts w:ascii="Times New Roman" w:eastAsiaTheme="minorHAnsi" w:hAnsiTheme="minorHAnsi" w:cstheme="minorBidi"/>
      <w:szCs w:val="24"/>
      <w:lang w:val="x-none" w:eastAsia="x-none"/>
    </w:rPr>
  </w:style>
  <w:style w:type="character" w:customStyle="1" w:styleId="ProposalChar">
    <w:name w:val="Proposal Char"/>
    <w:link w:val="Proposal"/>
    <w:rsid w:val="00B31848"/>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3132347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88730758">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015957315">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26840761">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50274992">
      <w:bodyDiv w:val="1"/>
      <w:marLeft w:val="0"/>
      <w:marRight w:val="0"/>
      <w:marTop w:val="0"/>
      <w:marBottom w:val="0"/>
      <w:divBdr>
        <w:top w:val="none" w:sz="0" w:space="0" w:color="auto"/>
        <w:left w:val="none" w:sz="0" w:space="0" w:color="auto"/>
        <w:bottom w:val="none" w:sz="0" w:space="0" w:color="auto"/>
        <w:right w:val="none" w:sz="0" w:space="0" w:color="auto"/>
      </w:divBdr>
    </w:div>
    <w:div w:id="1591964290">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2054678">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47FC2-511D-4C71-8FD1-39698C535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1590</Words>
  <Characters>9064</Characters>
  <Application>Microsoft Office Word</Application>
  <DocSecurity>0</DocSecurity>
  <Lines>75</Lines>
  <Paragraphs>21</Paragraphs>
  <ScaleCrop>false</ScaleCrop>
  <Company/>
  <LinksUpToDate>false</LinksUpToDate>
  <CharactersWithSpaces>10633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2018-04-07T05:35:00Z</dcterms:created>
  <dcterms:modified xsi:type="dcterms:W3CDTF">2018-04-07T05:36:00Z</dcterms:modified>
</cp:coreProperties>
</file>